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E093" w14:textId="77777777" w:rsidR="00F61CBC" w:rsidRDefault="00F61CBC" w:rsidP="00F61CBC">
      <w:pPr>
        <w:pStyle w:val="Default"/>
      </w:pPr>
    </w:p>
    <w:tbl>
      <w:tblPr>
        <w:tblW w:w="919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196"/>
      </w:tblGrid>
      <w:tr w:rsidR="00F61CBC" w14:paraId="0F39309C" w14:textId="77777777" w:rsidTr="0167FEE5">
        <w:trPr>
          <w:trHeight w:val="143"/>
        </w:trPr>
        <w:tc>
          <w:tcPr>
            <w:tcW w:w="9196" w:type="dxa"/>
            <w:tcBorders>
              <w:top w:val="nil"/>
              <w:left w:val="nil"/>
              <w:bottom w:val="nil"/>
              <w:right w:val="nil"/>
            </w:tcBorders>
          </w:tcPr>
          <w:p w14:paraId="5C8C58D8" w14:textId="415793A7" w:rsidR="00F61CBC" w:rsidRDefault="00F61CBC">
            <w:pPr>
              <w:pStyle w:val="Default"/>
              <w:rPr>
                <w:sz w:val="22"/>
                <w:szCs w:val="22"/>
              </w:rPr>
            </w:pPr>
            <w:r>
              <w:rPr>
                <w:b/>
                <w:bCs/>
                <w:sz w:val="22"/>
                <w:szCs w:val="22"/>
              </w:rPr>
              <w:t>APP-</w:t>
            </w:r>
            <w:r w:rsidR="00232DED">
              <w:rPr>
                <w:b/>
                <w:bCs/>
                <w:lang w:val="en-GB"/>
              </w:rPr>
              <w:t xml:space="preserve"> </w:t>
            </w:r>
            <w:r w:rsidR="00232DED" w:rsidRPr="00232DED">
              <w:rPr>
                <w:b/>
                <w:bCs/>
                <w:sz w:val="22"/>
                <w:szCs w:val="22"/>
                <w:lang w:val="en-GB"/>
              </w:rPr>
              <w:t>RM</w:t>
            </w:r>
            <w:r w:rsidR="00FE3E6C">
              <w:rPr>
                <w:b/>
                <w:bCs/>
                <w:sz w:val="22"/>
                <w:szCs w:val="22"/>
                <w:lang w:val="en-GB"/>
              </w:rPr>
              <w:t>23.</w:t>
            </w:r>
            <w:r w:rsidR="00E14EDF">
              <w:rPr>
                <w:b/>
                <w:bCs/>
                <w:sz w:val="22"/>
                <w:szCs w:val="22"/>
                <w:lang w:val="en-GB"/>
              </w:rPr>
              <w:t>8</w:t>
            </w:r>
            <w:r w:rsidR="003A7E8D">
              <w:rPr>
                <w:b/>
                <w:bCs/>
                <w:sz w:val="22"/>
                <w:szCs w:val="22"/>
                <w:lang w:val="en-GB"/>
              </w:rPr>
              <w:t>19</w:t>
            </w:r>
            <w:r>
              <w:rPr>
                <w:b/>
                <w:bCs/>
                <w:sz w:val="22"/>
                <w:szCs w:val="22"/>
              </w:rPr>
              <w:t xml:space="preserve"> </w:t>
            </w:r>
          </w:p>
        </w:tc>
      </w:tr>
      <w:tr w:rsidR="00F61CBC" w14:paraId="51707577" w14:textId="77777777" w:rsidTr="0167FEE5">
        <w:trPr>
          <w:trHeight w:val="143"/>
        </w:trPr>
        <w:tc>
          <w:tcPr>
            <w:tcW w:w="9196" w:type="dxa"/>
            <w:tcBorders>
              <w:top w:val="nil"/>
              <w:left w:val="nil"/>
              <w:bottom w:val="single" w:sz="4" w:space="0" w:color="auto"/>
              <w:right w:val="nil"/>
            </w:tcBorders>
          </w:tcPr>
          <w:p w14:paraId="200A97DB" w14:textId="6BFD417A" w:rsidR="00F61CBC" w:rsidRDefault="00F61CBC">
            <w:pPr>
              <w:pStyle w:val="Default"/>
              <w:rPr>
                <w:sz w:val="22"/>
                <w:szCs w:val="22"/>
              </w:rPr>
            </w:pPr>
            <w:r w:rsidRPr="0167FEE5">
              <w:rPr>
                <w:b/>
                <w:bCs/>
                <w:sz w:val="22"/>
                <w:szCs w:val="22"/>
              </w:rPr>
              <w:t xml:space="preserve">Summary of evidence by </w:t>
            </w:r>
            <w:r w:rsidR="00243A3A">
              <w:rPr>
                <w:b/>
                <w:bCs/>
                <w:sz w:val="22"/>
                <w:szCs w:val="22"/>
              </w:rPr>
              <w:t>Alexandra</w:t>
            </w:r>
            <w:r w:rsidR="00DD3C78">
              <w:rPr>
                <w:b/>
                <w:bCs/>
                <w:sz w:val="22"/>
                <w:szCs w:val="22"/>
              </w:rPr>
              <w:t xml:space="preserve"> Macdonald</w:t>
            </w:r>
            <w:r w:rsidR="00243A3A">
              <w:rPr>
                <w:b/>
                <w:bCs/>
                <w:sz w:val="22"/>
                <w:szCs w:val="22"/>
              </w:rPr>
              <w:t xml:space="preserve"> Badenhop</w:t>
            </w:r>
            <w:r w:rsidRPr="0167FEE5">
              <w:rPr>
                <w:b/>
                <w:bCs/>
                <w:sz w:val="22"/>
                <w:szCs w:val="22"/>
              </w:rPr>
              <w:t xml:space="preserve"> </w:t>
            </w:r>
            <w:r w:rsidR="005B2452">
              <w:rPr>
                <w:b/>
                <w:bCs/>
                <w:sz w:val="22"/>
                <w:szCs w:val="22"/>
              </w:rPr>
              <w:t>1</w:t>
            </w:r>
            <w:r w:rsidR="001F4658">
              <w:rPr>
                <w:b/>
                <w:bCs/>
                <w:sz w:val="22"/>
                <w:szCs w:val="22"/>
              </w:rPr>
              <w:t>6</w:t>
            </w:r>
            <w:r w:rsidR="00871E3B">
              <w:rPr>
                <w:b/>
                <w:bCs/>
                <w:sz w:val="22"/>
                <w:szCs w:val="22"/>
              </w:rPr>
              <w:t>/5/</w:t>
            </w:r>
            <w:r w:rsidRPr="0167FEE5">
              <w:rPr>
                <w:b/>
                <w:bCs/>
                <w:sz w:val="22"/>
                <w:szCs w:val="22"/>
              </w:rPr>
              <w:t>202</w:t>
            </w:r>
            <w:r w:rsidR="00871E3B">
              <w:rPr>
                <w:b/>
                <w:bCs/>
                <w:sz w:val="22"/>
                <w:szCs w:val="22"/>
              </w:rPr>
              <w:t>4</w:t>
            </w:r>
            <w:r w:rsidRPr="0167FEE5">
              <w:rPr>
                <w:b/>
                <w:bCs/>
                <w:sz w:val="22"/>
                <w:szCs w:val="22"/>
              </w:rPr>
              <w:t xml:space="preserve"> </w:t>
            </w:r>
          </w:p>
        </w:tc>
      </w:tr>
    </w:tbl>
    <w:p w14:paraId="1D43A228" w14:textId="77777777" w:rsidR="004D21DC" w:rsidRPr="00BF1CFB" w:rsidRDefault="00B7143A" w:rsidP="00BF1CFB">
      <w:r w:rsidRPr="00BF1CFB">
        <w:t xml:space="preserve">I am </w:t>
      </w:r>
      <w:r w:rsidR="00FF2286" w:rsidRPr="00BF1CFB">
        <w:t>the Technical Director – Water and Environmental Management at</w:t>
      </w:r>
      <w:r w:rsidRPr="00BF1CFB">
        <w:t xml:space="preserve"> e3Scientific Limited</w:t>
      </w:r>
      <w:r w:rsidR="00FF2286" w:rsidRPr="00BF1CFB">
        <w:t xml:space="preserve"> where I have worked since 2015</w:t>
      </w:r>
      <w:r w:rsidRPr="00BF1CFB">
        <w:t xml:space="preserve">. </w:t>
      </w:r>
      <w:r w:rsidR="005231E0" w:rsidRPr="00BF1CFB">
        <w:t>I hold a Bachelor of Engineering (Environmental) (Hons) (1999) from the University of New South Wales (UNSW) and a Masters of Engineering Science (Groundwater Studies) from UNSW in 2008.  The subjects completed for my masters also fulfilled criteria for Master of Engineering Science (Water Quality).</w:t>
      </w:r>
    </w:p>
    <w:p w14:paraId="6F937CE1" w14:textId="0274DC11" w:rsidR="00FD65B0" w:rsidRPr="006F1F69" w:rsidRDefault="00FD65B0" w:rsidP="00BF1CFB">
      <w:r w:rsidRPr="006F1F69">
        <w:t xml:space="preserve">I have 20 years experience working in the water industry in Australia and New Zealand.  My experience has encompassed a range of engineering studies including hydrogeochemistry and water quality assessments, </w:t>
      </w:r>
      <w:r w:rsidR="00817E27">
        <w:t xml:space="preserve">groundwater supply assessments, </w:t>
      </w:r>
      <w:r w:rsidRPr="006F1F69">
        <w:t>groundwater-surface water interactions and investigations to characterise site hydrology, and assessments of environmental effect for take and discharge consents across Otago and Southland.</w:t>
      </w:r>
    </w:p>
    <w:p w14:paraId="37E76081" w14:textId="4E5B4812" w:rsidR="00B7143A" w:rsidRPr="00BA1688" w:rsidRDefault="00B7143A" w:rsidP="00BF1CFB">
      <w:r w:rsidRPr="006F1F69">
        <w:t>I confirm that I have read the Expert Witness Code of Conduct set out in the Environment Court’s Practice Note 2023. I have complied with the Code of Conduct in preparing this evidence and agree to comply with it while giving oral evidence before the Hearings Panel. This evidence is within my area of expertise, except where I state that I am relying upon the specified evidence of another person. I have not omitted to consider material facts known to me that might alter or detract from the opinions that I express.</w:t>
      </w:r>
      <w:r w:rsidRPr="00BA1688">
        <w:t xml:space="preserve"> </w:t>
      </w:r>
    </w:p>
    <w:p w14:paraId="6D7F0BCF" w14:textId="3192C455" w:rsidR="00B84C16" w:rsidRDefault="00B84C16" w:rsidP="00BF1CFB">
      <w:r>
        <w:t>In addition to all of the technical reviews completed for this consent</w:t>
      </w:r>
      <w:r w:rsidR="007F62C3">
        <w:t xml:space="preserve"> (taken as read)</w:t>
      </w:r>
      <w:r>
        <w:t xml:space="preserve">, I visited the site on </w:t>
      </w:r>
      <w:r w:rsidR="00A62442">
        <w:t>10</w:t>
      </w:r>
      <w:r w:rsidR="00A62442" w:rsidRPr="00A62442">
        <w:rPr>
          <w:vertAlign w:val="superscript"/>
        </w:rPr>
        <w:t>th</w:t>
      </w:r>
      <w:r w:rsidR="00A62442">
        <w:t xml:space="preserve"> May, 2024 and was given a tour by Mr. Simon Johnstone</w:t>
      </w:r>
      <w:r w:rsidR="005E2FB9">
        <w:t xml:space="preserve"> of Hawkeswood Resources.</w:t>
      </w:r>
    </w:p>
    <w:p w14:paraId="4A24C5A3" w14:textId="32A48B41" w:rsidR="00031605" w:rsidRDefault="00031605" w:rsidP="00BF1CFB">
      <w:r>
        <w:t>The site hydrology is complex and difficult to assess due to the Clutha River boundary extending along the southern and western boundary of the site, the Tima Burn flowing along the eastern boundary, a closed landfill to the north of the site, and historic mining being completed along the southern boundary in the past. The Clutha River provides a complex recharge boundary due to rapid water level fluctuations (over 1 m per day) caused by hydropower generation.</w:t>
      </w:r>
    </w:p>
    <w:p w14:paraId="79D63207" w14:textId="77777777" w:rsidR="00043A7A" w:rsidRDefault="00F27460" w:rsidP="00BF1CFB">
      <w:r>
        <w:t xml:space="preserve">The uncertainty and limitations regarding the pumping tests and calculated aquifer parameters </w:t>
      </w:r>
      <w:r w:rsidR="00B96441">
        <w:t>are</w:t>
      </w:r>
      <w:r>
        <w:t xml:space="preserve"> significant, however it is acknowledged that the actual pumping rates of the mine pit pumping test provide the best information </w:t>
      </w:r>
      <w:r w:rsidR="00B96441">
        <w:t>regarding the required pumping rates</w:t>
      </w:r>
      <w:r>
        <w:t xml:space="preserve">. </w:t>
      </w:r>
    </w:p>
    <w:p w14:paraId="07C973F2" w14:textId="45516266" w:rsidR="00F27460" w:rsidRDefault="00F27460" w:rsidP="00BF1CFB">
      <w:r>
        <w:t>The</w:t>
      </w:r>
      <w:r w:rsidR="006745E5">
        <w:t xml:space="preserve"> </w:t>
      </w:r>
      <w:r w:rsidR="00BF5CDD">
        <w:t xml:space="preserve">groundwater site </w:t>
      </w:r>
      <w:r>
        <w:t xml:space="preserve">maps indicate considerable variability across the site. It is noted that for an activity of this scale, establishing surveyed groundwater monitoring bores to measure baseline groundwater level and quality conditions prior to the activity occurring is considered to be best practice. </w:t>
      </w:r>
      <w:r w:rsidR="00563046">
        <w:t xml:space="preserve">During the site visit, Mr Johnstone stated that several </w:t>
      </w:r>
      <w:r w:rsidR="00456F09">
        <w:t>groundwater monitoring bores have been monitored for over twelve months, including during the mine pit dewatering trial</w:t>
      </w:r>
      <w:r w:rsidR="00862861">
        <w:t>, and that site LiDAR is also available. It is unclear why none of this data has been</w:t>
      </w:r>
      <w:r w:rsidR="009A1121">
        <w:t xml:space="preserve"> documented within the assessments or</w:t>
      </w:r>
      <w:r w:rsidR="00862861">
        <w:t xml:space="preserve"> used </w:t>
      </w:r>
      <w:r w:rsidR="00E40705">
        <w:t>to improve the groundwater conceptual model for this site.</w:t>
      </w:r>
    </w:p>
    <w:p w14:paraId="64AA739C" w14:textId="6869666D" w:rsidR="00F27460" w:rsidRDefault="00F27460" w:rsidP="00BF1CFB">
      <w:r>
        <w:t>Drawdown at the site will be very complex due to the variable rate pumping, recharge boundaries and small aquifer extents</w:t>
      </w:r>
      <w:r w:rsidR="001D2D30">
        <w:t xml:space="preserve">, hence </w:t>
      </w:r>
      <w:r>
        <w:t xml:space="preserve">there is considerable uncertainty in the actual effects that will occur. </w:t>
      </w:r>
      <w:r w:rsidR="001D2D30">
        <w:t>As</w:t>
      </w:r>
      <w:r>
        <w:t xml:space="preserve"> there may be effects on both the Tima Burn and other groundwater users, monitoring the effects and using </w:t>
      </w:r>
      <w:r>
        <w:lastRenderedPageBreak/>
        <w:t xml:space="preserve">adaptive management strategies is </w:t>
      </w:r>
      <w:r w:rsidR="00BF5CDD">
        <w:t xml:space="preserve">considered </w:t>
      </w:r>
      <w:r>
        <w:t xml:space="preserve">appropriate mitigation for the potential effects. </w:t>
      </w:r>
      <w:r w:rsidR="004A7073">
        <w:t>It was noted during the site visit that the Tima Burn stream bed was deeply incised</w:t>
      </w:r>
      <w:r w:rsidR="00C226B9">
        <w:t xml:space="preserve"> at Teviot Road, and that the land did slope towards the Tima Burn, indicating that groundwater </w:t>
      </w:r>
      <w:r w:rsidR="00FE05B3">
        <w:t>connectivity is at least seasonally likely.</w:t>
      </w:r>
    </w:p>
    <w:p w14:paraId="4C21550A" w14:textId="43269B0D" w:rsidR="001F1614" w:rsidRDefault="001F1614" w:rsidP="00BF1CFB">
      <w:r>
        <w:t xml:space="preserve">The key issues with respect to groundwater quality are </w:t>
      </w:r>
      <w:r w:rsidR="00E56810">
        <w:t xml:space="preserve">the </w:t>
      </w:r>
      <w:r>
        <w:t xml:space="preserve">discharge of sediments from washing, mobilisation of contaminants from landfill and the possible introduction of sediments during augmentation. </w:t>
      </w:r>
      <w:r w:rsidR="00F90AFE">
        <w:t xml:space="preserve">Note that dewatering will not increase contaminant mobilisation from the landfill </w:t>
      </w:r>
      <w:r w:rsidR="00A54001">
        <w:t>as there is an unsaturated zone beneath the landfill, rather d</w:t>
      </w:r>
      <w:r w:rsidR="00F90AFE">
        <w:t>ewatering will alter current flow paths</w:t>
      </w:r>
      <w:r w:rsidR="00A54001">
        <w:t>.</w:t>
      </w:r>
      <w:r w:rsidR="00F90AFE">
        <w:t xml:space="preserve"> </w:t>
      </w:r>
      <w:r>
        <w:t>There will be no earthworks within 20 m of any watercourse, and no discharge of treated water to land within 50 m of any watercourse, including the Clutha and Tima Burn.</w:t>
      </w:r>
    </w:p>
    <w:p w14:paraId="5EA1B73C" w14:textId="77777777" w:rsidR="001F1614" w:rsidRPr="00085881" w:rsidRDefault="001F1614" w:rsidP="00BF1CFB">
      <w:r>
        <w:t>Wash water from the gold plant will either be recycled back into the mine pit or via a sediment retention pond to infiltration pits. The discharge is expected to only contain suspended sediment from the mine pit, which is intended to be settled out in the initial sediment retention pond before being discharged to groundwater via an infiltration pond and then migrating to the Clutha River. These infiltration ponds are intended to be located between the mine pond and the Clutha River, though no closer than 50 m to the Clutha River. Given that the infiltration ponds will cause some groundwater mounding, the gradient of flow is likely to be mostly towards the Clutha River from these locations. However, there may be some flow parallel to the Clutha River towards downgradient groundwater users due to the mounding and drawdown in the aquifer.</w:t>
      </w:r>
    </w:p>
    <w:p w14:paraId="26DE4E10" w14:textId="023E10F7" w:rsidR="00F27460" w:rsidRDefault="00F27460" w:rsidP="00BF1CFB">
      <w:r>
        <w:t xml:space="preserve">The key </w:t>
      </w:r>
      <w:r w:rsidR="00921362">
        <w:t>adaptive management strategies</w:t>
      </w:r>
      <w:r>
        <w:t xml:space="preserve"> are:</w:t>
      </w:r>
    </w:p>
    <w:p w14:paraId="0703122D" w14:textId="77777777" w:rsidR="00F27460" w:rsidRPr="00085881" w:rsidRDefault="00F27460" w:rsidP="00BF1CFB">
      <w:pPr>
        <w:pStyle w:val="ListParagraph"/>
        <w:numPr>
          <w:ilvl w:val="0"/>
          <w:numId w:val="6"/>
        </w:numPr>
      </w:pPr>
      <w:r>
        <w:t>A</w:t>
      </w:r>
      <w:r w:rsidRPr="00085881">
        <w:t>ugmentation of the Tima Burn and providing alternative water supply to neighbouring groundwater users.</w:t>
      </w:r>
    </w:p>
    <w:p w14:paraId="057C78EF" w14:textId="6F0F3DDF" w:rsidR="00F27460" w:rsidRPr="00F27460" w:rsidRDefault="00F27460" w:rsidP="00BF1CFB">
      <w:pPr>
        <w:pStyle w:val="ListParagraph"/>
        <w:numPr>
          <w:ilvl w:val="0"/>
          <w:numId w:val="6"/>
        </w:numPr>
      </w:pPr>
      <w:r w:rsidRPr="00085881">
        <w:t xml:space="preserve">Providing alternative water supply to neighbouring groundwater users </w:t>
      </w:r>
      <w:r w:rsidR="00921362">
        <w:t>as per proposed Condition 7</w:t>
      </w:r>
      <w:r w:rsidRPr="00085881">
        <w:t>. The ability to obtain alternative supply should be confirmed.</w:t>
      </w:r>
    </w:p>
    <w:p w14:paraId="3A4C6272" w14:textId="5F42B478" w:rsidR="00921362" w:rsidRDefault="00AC7323" w:rsidP="00BF1CFB">
      <w:r>
        <w:t>To enable implementation of the management strategies, d</w:t>
      </w:r>
      <w:r w:rsidR="00F27460">
        <w:t xml:space="preserve">edicated monitoring bores should be installed on the site boundaries, </w:t>
      </w:r>
      <w:r w:rsidR="00F3707B">
        <w:t xml:space="preserve">with water quality monitoring </w:t>
      </w:r>
      <w:r w:rsidR="00C2252C">
        <w:t>as per the proposed conditions.</w:t>
      </w:r>
      <w:r w:rsidR="00F27460">
        <w:t xml:space="preserve"> </w:t>
      </w:r>
      <w:r w:rsidR="00AD5CE3">
        <w:t>Water level monitoring should be continuous and real-time</w:t>
      </w:r>
      <w:r w:rsidR="00A427C4">
        <w:t xml:space="preserve"> (this is not currently specified in the conditions) to</w:t>
      </w:r>
      <w:r w:rsidR="00340A4D">
        <w:t xml:space="preserve"> assess </w:t>
      </w:r>
      <w:r w:rsidR="00F27460">
        <w:t xml:space="preserve">the propagation of the drawdown cone </w:t>
      </w:r>
      <w:r w:rsidR="00340A4D">
        <w:t>and allow</w:t>
      </w:r>
      <w:r w:rsidR="00F27460">
        <w:t xml:space="preserve"> early warning to groundwater users enabling provision of alternate water supply in a timely fashion</w:t>
      </w:r>
      <w:r w:rsidR="0011029C">
        <w:t>, and</w:t>
      </w:r>
      <w:r w:rsidR="00F27460">
        <w:t xml:space="preserve"> be used to support proposed condition 8 measuring water level decline adjacent to the Tima Burn.</w:t>
      </w:r>
      <w:r w:rsidR="00921362" w:rsidRPr="00921362">
        <w:t xml:space="preserve"> </w:t>
      </w:r>
    </w:p>
    <w:p w14:paraId="571622A4" w14:textId="7CB0AC2B" w:rsidR="00916CA3" w:rsidRDefault="00602149" w:rsidP="00BF1CFB">
      <w:r w:rsidRPr="00BE075D">
        <w:t xml:space="preserve">Whilst out of the scope of this review, an erosion and sediment control plan should be provided as part of the environmental management plan for the site to ensure that </w:t>
      </w:r>
      <w:r>
        <w:t xml:space="preserve">topsoil stockpiles, overburden and runoff on the site is managed in a responsible manner, noting that the site extends across multiple catchments. Site rehabilitation plans should also be clarified. Monitoring of the Clutha River should occur upstream </w:t>
      </w:r>
      <w:r w:rsidR="002D6866">
        <w:t>and dow</w:t>
      </w:r>
      <w:r w:rsidR="001A6780">
        <w:t xml:space="preserve">nstream </w:t>
      </w:r>
      <w:r>
        <w:t>of the worksite, rather than just upstream and downstream of the infiltration pit due to the potential erosion and sediment impacts of the site as well as the infiltration impacts.</w:t>
      </w:r>
    </w:p>
    <w:p w14:paraId="27928414" w14:textId="77777777" w:rsidR="005B3EF1" w:rsidRDefault="005B3EF1" w:rsidP="00BF1CFB">
      <w:pPr>
        <w:numPr>
          <w:ilvl w:val="0"/>
          <w:numId w:val="0"/>
        </w:numPr>
        <w:ind w:left="567"/>
      </w:pPr>
      <w:r>
        <w:br w:type="page"/>
      </w:r>
    </w:p>
    <w:p w14:paraId="7F3F579A" w14:textId="376B3FAA" w:rsidR="004B03B4" w:rsidRPr="0060066F" w:rsidRDefault="004B03B4" w:rsidP="00AD4B52">
      <w:pPr>
        <w:numPr>
          <w:ilvl w:val="0"/>
          <w:numId w:val="0"/>
        </w:numPr>
        <w:pBdr>
          <w:bottom w:val="single" w:sz="4" w:space="1" w:color="auto"/>
        </w:pBdr>
        <w:rPr>
          <w:rStyle w:val="SubtleEmphasis"/>
        </w:rPr>
      </w:pPr>
      <w:r w:rsidRPr="0060066F">
        <w:rPr>
          <w:rStyle w:val="SubtleEmphasis"/>
        </w:rPr>
        <w:lastRenderedPageBreak/>
        <w:t xml:space="preserve">The above information is </w:t>
      </w:r>
      <w:r w:rsidR="0000442C" w:rsidRPr="0060066F">
        <w:rPr>
          <w:rStyle w:val="SubtleEmphasis"/>
        </w:rPr>
        <w:t xml:space="preserve">the </w:t>
      </w:r>
      <w:r w:rsidR="00AD4B52" w:rsidRPr="0060066F">
        <w:rPr>
          <w:rStyle w:val="SubtleEmphasis"/>
        </w:rPr>
        <w:t>two-page</w:t>
      </w:r>
      <w:r w:rsidR="0000442C" w:rsidRPr="0060066F">
        <w:rPr>
          <w:rStyle w:val="SubtleEmphasis"/>
        </w:rPr>
        <w:t xml:space="preserve"> summary I was requested to provide </w:t>
      </w:r>
      <w:r w:rsidR="0076784D" w:rsidRPr="0060066F">
        <w:rPr>
          <w:rStyle w:val="SubtleEmphasis"/>
        </w:rPr>
        <w:t>prior to</w:t>
      </w:r>
      <w:r w:rsidR="0000442C" w:rsidRPr="0060066F">
        <w:rPr>
          <w:rStyle w:val="SubtleEmphasis"/>
        </w:rPr>
        <w:t xml:space="preserve"> the hearing</w:t>
      </w:r>
      <w:r w:rsidR="00C5205C" w:rsidRPr="0060066F">
        <w:rPr>
          <w:rStyle w:val="SubtleEmphasis"/>
        </w:rPr>
        <w:t xml:space="preserve">. The below additional points </w:t>
      </w:r>
      <w:r w:rsidR="007D59F5" w:rsidRPr="0060066F">
        <w:rPr>
          <w:rStyle w:val="SubtleEmphasis"/>
        </w:rPr>
        <w:t xml:space="preserve">were </w:t>
      </w:r>
      <w:r w:rsidR="0076784D" w:rsidRPr="0060066F">
        <w:rPr>
          <w:rStyle w:val="SubtleEmphasis"/>
        </w:rPr>
        <w:t xml:space="preserve">those that I </w:t>
      </w:r>
      <w:r w:rsidR="007D59F5" w:rsidRPr="0060066F">
        <w:rPr>
          <w:rStyle w:val="SubtleEmphasis"/>
        </w:rPr>
        <w:t xml:space="preserve">raised during the hearing </w:t>
      </w:r>
      <w:r w:rsidR="00512E0D" w:rsidRPr="0060066F">
        <w:rPr>
          <w:rStyle w:val="SubtleEmphasis"/>
        </w:rPr>
        <w:t>on 15th May</w:t>
      </w:r>
      <w:r w:rsidR="00C5205C" w:rsidRPr="0060066F">
        <w:rPr>
          <w:rStyle w:val="SubtleEmphasis"/>
        </w:rPr>
        <w:t xml:space="preserve"> in response to </w:t>
      </w:r>
      <w:r w:rsidR="0007204E" w:rsidRPr="0060066F">
        <w:rPr>
          <w:rStyle w:val="SubtleEmphasis"/>
        </w:rPr>
        <w:t xml:space="preserve">discussion between the commissioner </w:t>
      </w:r>
      <w:r w:rsidR="007D59F5" w:rsidRPr="0060066F">
        <w:rPr>
          <w:rStyle w:val="SubtleEmphasis"/>
        </w:rPr>
        <w:t>and Mr Heller during the hearing</w:t>
      </w:r>
      <w:r w:rsidR="00512E0D" w:rsidRPr="0060066F">
        <w:rPr>
          <w:rStyle w:val="SubtleEmphasis"/>
        </w:rPr>
        <w:t xml:space="preserve"> on 14th May and</w:t>
      </w:r>
      <w:r w:rsidR="00FB5BDC" w:rsidRPr="0060066F">
        <w:rPr>
          <w:rStyle w:val="SubtleEmphasis"/>
        </w:rPr>
        <w:t xml:space="preserve"> based on points raised by the submitters</w:t>
      </w:r>
      <w:r w:rsidR="00AD4B52">
        <w:rPr>
          <w:rStyle w:val="SubtleEmphasis"/>
        </w:rPr>
        <w:t xml:space="preserve"> on 15</w:t>
      </w:r>
      <w:r w:rsidR="00AD4B52" w:rsidRPr="00AD4B52">
        <w:rPr>
          <w:rStyle w:val="SubtleEmphasis"/>
          <w:vertAlign w:val="superscript"/>
        </w:rPr>
        <w:t>th</w:t>
      </w:r>
      <w:r w:rsidR="00AD4B52">
        <w:rPr>
          <w:rStyle w:val="SubtleEmphasis"/>
        </w:rPr>
        <w:t xml:space="preserve"> May</w:t>
      </w:r>
      <w:r w:rsidR="00FB5BDC" w:rsidRPr="0060066F">
        <w:rPr>
          <w:rStyle w:val="SubtleEmphasis"/>
        </w:rPr>
        <w:t>.</w:t>
      </w:r>
    </w:p>
    <w:p w14:paraId="0BDD7A41" w14:textId="6340110B" w:rsidR="00FB5BDC" w:rsidRDefault="007965D7" w:rsidP="00BF1CFB">
      <w:r>
        <w:t xml:space="preserve">The statement that the water quality </w:t>
      </w:r>
      <w:r w:rsidR="00000040">
        <w:t xml:space="preserve">beneath the landfill is ‘good’ based on a water quality sample </w:t>
      </w:r>
      <w:r w:rsidR="0014380F">
        <w:t>that has not been provided is not considered to be reliable evidence</w:t>
      </w:r>
      <w:r w:rsidR="0032522A">
        <w:t>, as it is unknown what parameters were sampled and whether the site is actually downgradient</w:t>
      </w:r>
      <w:r w:rsidR="0066017A">
        <w:t xml:space="preserve"> of the landfill. </w:t>
      </w:r>
      <w:r w:rsidR="0019634A">
        <w:t>The</w:t>
      </w:r>
      <w:r w:rsidR="00912BAF">
        <w:t xml:space="preserve"> report</w:t>
      </w:r>
      <w:r w:rsidR="0019634A">
        <w:t xml:space="preserve"> ENGEO (2023). </w:t>
      </w:r>
      <w:r w:rsidR="00912BAF">
        <w:t>Annual Report. Closed Landfills, Central Otago was provided today</w:t>
      </w:r>
      <w:r w:rsidR="00F42FE1">
        <w:t xml:space="preserve"> (16/05/2024)</w:t>
      </w:r>
      <w:r w:rsidR="00EA16D7">
        <w:t xml:space="preserve">. There is one well that has been sampled </w:t>
      </w:r>
      <w:r w:rsidR="00D20A30">
        <w:t>annually</w:t>
      </w:r>
      <w:r w:rsidR="003C0AB2">
        <w:t xml:space="preserve"> with samples analysed for pH, electrical conductivity, Chloride and Nitrate-N. Based on Mr Heller</w:t>
      </w:r>
      <w:r w:rsidR="00F42FE1">
        <w:t>’</w:t>
      </w:r>
      <w:r w:rsidR="003C0AB2">
        <w:t xml:space="preserve">s groundwater conceptual model, this bore would not </w:t>
      </w:r>
      <w:r w:rsidR="00F473F6">
        <w:t>be</w:t>
      </w:r>
      <w:r w:rsidR="003C0AB2">
        <w:t xml:space="preserve"> downgradient of the landfill</w:t>
      </w:r>
      <w:r w:rsidR="00E21622">
        <w:t xml:space="preserve">. To determine groundwater flow directions, three </w:t>
      </w:r>
      <w:r w:rsidR="00183B83">
        <w:t xml:space="preserve">surveyed </w:t>
      </w:r>
      <w:r w:rsidR="00E21622">
        <w:t xml:space="preserve">wells </w:t>
      </w:r>
      <w:r w:rsidR="00183B83">
        <w:t>would be required screened across the water table.</w:t>
      </w:r>
    </w:p>
    <w:p w14:paraId="17C816A9" w14:textId="73C9A086" w:rsidR="00F42FE1" w:rsidRDefault="00A31B3E" w:rsidP="00BF1CFB">
      <w:r>
        <w:t xml:space="preserve">There was discussion regarding a 10 m vadose zone below the discharge ponds. The pond viewed on site was </w:t>
      </w:r>
      <w:r w:rsidR="005D4DF4">
        <w:t>quite deep, and the mapped data</w:t>
      </w:r>
      <w:r w:rsidR="001F699A">
        <w:t xml:space="preserve"> in Groundwater Appendix B</w:t>
      </w:r>
      <w:r w:rsidR="00CD17D5">
        <w:t xml:space="preserve"> indicates that the depth to the water table is less than 10 m in this area</w:t>
      </w:r>
      <w:r w:rsidR="009A62F0">
        <w:t xml:space="preserve"> (and there is no accounting for seasonal water table variation). There may still be sufficient vadose zone, b</w:t>
      </w:r>
      <w:r w:rsidR="00763ABE">
        <w:t xml:space="preserve">ut it is unlikely </w:t>
      </w:r>
      <w:r w:rsidR="00B15279">
        <w:t>to be 10 m below the ponds.</w:t>
      </w:r>
      <w:r w:rsidR="00255535">
        <w:t xml:space="preserve"> The site plans </w:t>
      </w:r>
      <w:r w:rsidR="008675BC">
        <w:t>confirming the possible areas of discharge requested by the commissioner will help to clarify this.</w:t>
      </w:r>
    </w:p>
    <w:p w14:paraId="309811EC" w14:textId="1CC9732C" w:rsidR="00B15279" w:rsidRDefault="000245C6" w:rsidP="00BF1CFB">
      <w:r>
        <w:t xml:space="preserve">The evidence provided regarding Waikaia Gold in </w:t>
      </w:r>
      <w:r w:rsidR="000D087C">
        <w:t>Attachment B</w:t>
      </w:r>
      <w:r w:rsidR="006455B6">
        <w:t xml:space="preserve"> to Mr Heller’s evidence</w:t>
      </w:r>
      <w:r w:rsidR="000D087C">
        <w:t xml:space="preserve"> is</w:t>
      </w:r>
      <w:r w:rsidR="00EF3195">
        <w:t xml:space="preserve"> not detailed enough to </w:t>
      </w:r>
      <w:r w:rsidR="006455B6">
        <w:t xml:space="preserve">provide </w:t>
      </w:r>
      <w:r w:rsidR="006A0EAA">
        <w:t>a robust comparison</w:t>
      </w:r>
      <w:r w:rsidR="006455B6">
        <w:t xml:space="preserve"> regarding the discharge effects. </w:t>
      </w:r>
      <w:r w:rsidR="005D54AE">
        <w:t xml:space="preserve">Without knowing how well the site is conceptualised, it is unclear if the </w:t>
      </w:r>
      <w:r w:rsidR="00FF742C">
        <w:t>‘</w:t>
      </w:r>
      <w:r w:rsidR="005D54AE">
        <w:t>upstream</w:t>
      </w:r>
      <w:r w:rsidR="00FF742C">
        <w:t>’</w:t>
      </w:r>
      <w:r w:rsidR="005D54AE">
        <w:t xml:space="preserve"> site is actually up</w:t>
      </w:r>
      <w:r w:rsidR="00586D43">
        <w:t>gradient</w:t>
      </w:r>
      <w:r w:rsidR="005D54AE">
        <w:t>, given the much higher turbidity at the upstream site.</w:t>
      </w:r>
    </w:p>
    <w:p w14:paraId="020EDAC0" w14:textId="47A9EF81" w:rsidR="00D82B1A" w:rsidRDefault="00D82B1A" w:rsidP="00BF1CFB">
      <w:r>
        <w:t>The single sample of mine pit water quality</w:t>
      </w:r>
      <w:r w:rsidR="006A0EAA">
        <w:t xml:space="preserve"> in non-operational conditions</w:t>
      </w:r>
      <w:r w:rsidR="00D55E63">
        <w:t xml:space="preserve"> provided as Attachment A of Mr Heller’s evidence</w:t>
      </w:r>
      <w:r>
        <w:t xml:space="preserve"> </w:t>
      </w:r>
      <w:r w:rsidR="00D527F5">
        <w:t>is not likely to reflect the discharge water quality under operational conditions</w:t>
      </w:r>
      <w:r w:rsidR="00F82603">
        <w:t>.</w:t>
      </w:r>
    </w:p>
    <w:p w14:paraId="2F657F93" w14:textId="0C00E323" w:rsidR="00FE3038" w:rsidRDefault="00F82603" w:rsidP="00BF1CFB">
      <w:r>
        <w:t xml:space="preserve">Regarding groundwater connectivity of the Tima Burn, </w:t>
      </w:r>
      <w:r w:rsidR="004B70F8">
        <w:t xml:space="preserve">occasional drying of the stream </w:t>
      </w:r>
      <w:r w:rsidR="00C73092">
        <w:t>does not mean that the stream is disconnected from groundwater</w:t>
      </w:r>
      <w:r w:rsidR="00DD402E">
        <w:t xml:space="preserve">, as it may seasonally gain or lose </w:t>
      </w:r>
      <w:r w:rsidR="00030896">
        <w:t xml:space="preserve">water from/to groundwater depending on seasonal groundwater fluctuations. </w:t>
      </w:r>
      <w:r w:rsidR="00FE3038">
        <w:t>As long as there is still water flowing in the stream, it is possible that drawdown may increase stream losses.</w:t>
      </w:r>
    </w:p>
    <w:p w14:paraId="263188FF" w14:textId="77777777" w:rsidR="00957733" w:rsidRDefault="00254C92" w:rsidP="00957733">
      <w:r>
        <w:t xml:space="preserve">Augmentation from groundwater is considered an appropriate response because the </w:t>
      </w:r>
      <w:r w:rsidR="008F41B9">
        <w:t xml:space="preserve">loss of water is to groundwater and </w:t>
      </w:r>
      <w:r w:rsidR="00551881">
        <w:t>groundwater may be providing some streamflow at times</w:t>
      </w:r>
      <w:r w:rsidR="008F41B9">
        <w:t xml:space="preserve">. </w:t>
      </w:r>
      <w:r w:rsidR="00EE6E46">
        <w:t xml:space="preserve">The flow rate recommended was based on the ORC documented </w:t>
      </w:r>
      <w:r w:rsidR="0077792F">
        <w:t>allocation for the Tima Burn on the Consents for Otago webpage.</w:t>
      </w:r>
      <w:r w:rsidR="00E52BF7">
        <w:t xml:space="preserve"> Augmentation was considered </w:t>
      </w:r>
      <w:r w:rsidR="00735EC6">
        <w:t>a reasonable response as the effects will be temporary.</w:t>
      </w:r>
      <w:r w:rsidR="00957733" w:rsidRPr="00957733">
        <w:t xml:space="preserve"> </w:t>
      </w:r>
    </w:p>
    <w:p w14:paraId="7AE40537" w14:textId="02C51457" w:rsidR="00957733" w:rsidRDefault="00957733" w:rsidP="000F4CE3">
      <w:r>
        <w:t xml:space="preserve">In response to the question regarding whether or not </w:t>
      </w:r>
      <w:r w:rsidR="000B161C">
        <w:t xml:space="preserve">Tima Burn </w:t>
      </w:r>
      <w:r>
        <w:t xml:space="preserve">augmentation water will actually flow through to the Clutha/Mata-au or be lost to groundwater, I acknowledged that this was a valid concern. This could be addressed by installing </w:t>
      </w:r>
      <w:r w:rsidR="000E3B58">
        <w:t>flow monitoring within the Tima Burn</w:t>
      </w:r>
      <w:r w:rsidR="00DA77AB">
        <w:t>,</w:t>
      </w:r>
      <w:r w:rsidR="008806C8">
        <w:t xml:space="preserve"> </w:t>
      </w:r>
      <w:r w:rsidR="0061368F">
        <w:t>and</w:t>
      </w:r>
      <w:r w:rsidR="008806C8">
        <w:t xml:space="preserve"> </w:t>
      </w:r>
      <w:r>
        <w:t xml:space="preserve">surveyed monitoring wells adjacent to the stream and collecting continuous water level data in conjunction with a survey of the stream bed to determine relative levels. Given that the areas closer to the Tima Burn are to be mined in Stages 3 &amp; 4, baseline </w:t>
      </w:r>
      <w:r w:rsidR="00FF1B94">
        <w:lastRenderedPageBreak/>
        <w:t xml:space="preserve">flow and </w:t>
      </w:r>
      <w:r>
        <w:t>groundwater level data can be collected to better understand surface water-groundwater interactions</w:t>
      </w:r>
      <w:r w:rsidR="000F4CE3">
        <w:t xml:space="preserve"> prior to any effects occurring</w:t>
      </w:r>
      <w:r>
        <w:t>.</w:t>
      </w:r>
      <w:r w:rsidR="00C703B0">
        <w:t xml:space="preserve"> </w:t>
      </w:r>
    </w:p>
    <w:p w14:paraId="0236E82E" w14:textId="466BCD09" w:rsidR="001F09EE" w:rsidRDefault="005B20A0" w:rsidP="001F09EE">
      <w:r>
        <w:t xml:space="preserve">My statement in Point 13 regarding monitoring within the Clutha River/Mata-au was a response to the monitoring proffered by the Applicant. </w:t>
      </w:r>
      <w:r w:rsidR="009C56F2">
        <w:t>I acknowledge that t</w:t>
      </w:r>
      <w:r w:rsidR="001F09EE">
        <w:t xml:space="preserve">o monitor discharge effects on the Clutha River, monitoring of the discharge water quality and groundwater downgradient of the discharge is likely to be more </w:t>
      </w:r>
      <w:r w:rsidR="009C56F2">
        <w:t>meaningful</w:t>
      </w:r>
      <w:r w:rsidR="001F09EE">
        <w:t xml:space="preserve"> than monitoring the Clutha River itself, given the large flow rates. It is important to measure water elevations in the discharge pond and groundwater simultaneously to confirm the direction of flow.</w:t>
      </w:r>
    </w:p>
    <w:p w14:paraId="466A93A4" w14:textId="39E9C8A9" w:rsidR="001F09EE" w:rsidRDefault="00D060C9" w:rsidP="00BF1CFB">
      <w:r>
        <w:t xml:space="preserve">These </w:t>
      </w:r>
      <w:r w:rsidR="000776F0">
        <w:t xml:space="preserve">additional </w:t>
      </w:r>
      <w:r>
        <w:t>points do not mean that I have revised my position regarding augmentation and monitoring being appropriate</w:t>
      </w:r>
      <w:r w:rsidR="00D005CE">
        <w:t xml:space="preserve">. They have been discussed as the </w:t>
      </w:r>
      <w:r w:rsidR="00E407A0">
        <w:t>commissioner’s</w:t>
      </w:r>
      <w:r w:rsidR="00D005CE">
        <w:t xml:space="preserve"> line of questioning indicated that he considered them to be significant</w:t>
      </w:r>
      <w:r w:rsidR="00EA5CFB">
        <w:t>.</w:t>
      </w:r>
      <w:r w:rsidR="00F5554C">
        <w:t xml:space="preserve"> </w:t>
      </w:r>
      <w:r w:rsidR="00EA5CFB">
        <w:t>T</w:t>
      </w:r>
      <w:r w:rsidR="007D6844">
        <w:t xml:space="preserve">hey were not included </w:t>
      </w:r>
      <w:r w:rsidR="000776F0">
        <w:t>in my previous summary</w:t>
      </w:r>
      <w:r w:rsidR="004D3315">
        <w:t xml:space="preserve"> </w:t>
      </w:r>
      <w:r w:rsidR="00584125">
        <w:t>as I was</w:t>
      </w:r>
      <w:r w:rsidR="004D3315">
        <w:t xml:space="preserve"> request</w:t>
      </w:r>
      <w:r w:rsidR="00584125">
        <w:t>ed</w:t>
      </w:r>
      <w:r w:rsidR="004D3315">
        <w:t xml:space="preserve"> </w:t>
      </w:r>
      <w:r w:rsidR="00524492">
        <w:t>to provide two pages only</w:t>
      </w:r>
      <w:r w:rsidR="00584125">
        <w:t>, and because some information was new</w:t>
      </w:r>
      <w:r w:rsidR="00D005CE">
        <w:t>.</w:t>
      </w:r>
      <w:r w:rsidR="00E81068">
        <w:t xml:space="preserve"> </w:t>
      </w:r>
      <w:r w:rsidR="001911DC">
        <w:t>A</w:t>
      </w:r>
      <w:r w:rsidR="00E81068">
        <w:t xml:space="preserve">dditional work is required to agree on </w:t>
      </w:r>
      <w:r w:rsidR="001911DC">
        <w:t xml:space="preserve">appropriate and meaningful </w:t>
      </w:r>
      <w:r w:rsidR="00E81068">
        <w:t>monitoring condition</w:t>
      </w:r>
      <w:r w:rsidR="00A74A16">
        <w:t>s</w:t>
      </w:r>
      <w:r w:rsidR="001B65EF">
        <w:t>.</w:t>
      </w:r>
      <w:r w:rsidR="00A74A16">
        <w:t xml:space="preserve"> </w:t>
      </w:r>
    </w:p>
    <w:p w14:paraId="60E15891" w14:textId="77777777" w:rsidR="005B20A0" w:rsidRDefault="005B20A0" w:rsidP="000776F0">
      <w:pPr>
        <w:numPr>
          <w:ilvl w:val="0"/>
          <w:numId w:val="0"/>
        </w:numPr>
        <w:ind w:left="567" w:hanging="425"/>
      </w:pPr>
    </w:p>
    <w:sectPr w:rsidR="005B20A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3799" w14:textId="77777777" w:rsidR="00D427C9" w:rsidRDefault="00D427C9" w:rsidP="00BF1CFB">
      <w:r>
        <w:separator/>
      </w:r>
    </w:p>
  </w:endnote>
  <w:endnote w:type="continuationSeparator" w:id="0">
    <w:p w14:paraId="1EFC3368" w14:textId="77777777" w:rsidR="00D427C9" w:rsidRDefault="00D427C9" w:rsidP="00BF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B956" w14:textId="16E19128" w:rsidR="00304A7E" w:rsidRPr="00C20BC6" w:rsidRDefault="00304A7E" w:rsidP="00BF1CFB">
    <w:pPr>
      <w:pStyle w:val="Header"/>
      <w:numPr>
        <w:ilvl w:val="0"/>
        <w:numId w:val="0"/>
      </w:numPr>
      <w:rPr>
        <w:b/>
        <w:bCs/>
      </w:rPr>
    </w:pPr>
    <w:r>
      <w:t>Alexandra Badenhop Summary of Evidence</w:t>
    </w:r>
    <w:r w:rsidR="005B7F6C">
      <w:tab/>
    </w:r>
    <w:r w:rsidRPr="002A6A6D">
      <w:t xml:space="preserve">Page | </w:t>
    </w:r>
    <w:r w:rsidRPr="002A6A6D">
      <w:fldChar w:fldCharType="begin"/>
    </w:r>
    <w:r w:rsidRPr="002A6A6D">
      <w:instrText xml:space="preserve"> PAGE   \* MERGEFORMAT </w:instrText>
    </w:r>
    <w:r w:rsidRPr="002A6A6D">
      <w:fldChar w:fldCharType="separate"/>
    </w:r>
    <w:r>
      <w:t>3</w:t>
    </w:r>
    <w:r w:rsidRPr="002A6A6D">
      <w:rPr>
        <w:b/>
        <w:bCs/>
        <w:noProof/>
      </w:rPr>
      <w:fldChar w:fldCharType="end"/>
    </w:r>
  </w:p>
  <w:p w14:paraId="0A12A885" w14:textId="7F1D5CD1" w:rsidR="00C31C8A" w:rsidRDefault="00C31C8A" w:rsidP="00BF1CFB">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EFDBA" w14:textId="77777777" w:rsidR="00D427C9" w:rsidRDefault="00D427C9" w:rsidP="00BF1CFB">
      <w:r>
        <w:separator/>
      </w:r>
    </w:p>
  </w:footnote>
  <w:footnote w:type="continuationSeparator" w:id="0">
    <w:p w14:paraId="1B3DF0D2" w14:textId="77777777" w:rsidR="00D427C9" w:rsidRDefault="00D427C9" w:rsidP="00BF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BC67" w14:textId="77777777" w:rsidR="00BD1913" w:rsidRDefault="00BD1913" w:rsidP="00BF1CFB">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42D"/>
    <w:multiLevelType w:val="hybridMultilevel"/>
    <w:tmpl w:val="2C868BD2"/>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0F2F52"/>
    <w:multiLevelType w:val="hybridMultilevel"/>
    <w:tmpl w:val="4FFA89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7A67735"/>
    <w:multiLevelType w:val="multilevel"/>
    <w:tmpl w:val="6B4A6F36"/>
    <w:lvl w:ilvl="0">
      <w:start w:val="1"/>
      <w:numFmt w:val="decimal"/>
      <w:lvlText w:val="%1"/>
      <w:lvlJc w:val="left"/>
      <w:pPr>
        <w:ind w:left="360" w:hanging="360"/>
      </w:pPr>
      <w:rPr>
        <w:rFonts w:ascii="Century Gothic" w:hAnsi="Century Gothic" w:hint="default"/>
        <w:b w:val="0"/>
        <w:i w:val="0"/>
        <w:caps/>
        <w:sz w:val="40"/>
        <w:szCs w:val="22"/>
        <w14:numSpacing w14:val="tabular"/>
      </w:rPr>
    </w:lvl>
    <w:lvl w:ilvl="1">
      <w:start w:val="1"/>
      <w:numFmt w:val="decimal"/>
      <w:lvlText w:val="%1.%2"/>
      <w:lvlJc w:val="left"/>
      <w:pPr>
        <w:tabs>
          <w:tab w:val="num" w:pos="709"/>
        </w:tabs>
        <w:ind w:left="709" w:hanging="709"/>
      </w:pPr>
      <w:rPr>
        <w:rFonts w:ascii="Arial" w:hAnsi="Arial"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w:hAnsi="Arial" w:cs="Arial" w:hint="default"/>
        <w:b w:val="0"/>
        <w:i w:val="0"/>
        <w:caps w:val="0"/>
        <w:strike w:val="0"/>
        <w:dstrike w:val="0"/>
        <w:vanish w:val="0"/>
        <w:color w:val="000000"/>
        <w:sz w:val="20"/>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81E78D7"/>
    <w:multiLevelType w:val="hybridMultilevel"/>
    <w:tmpl w:val="2EC22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C41AFB"/>
    <w:multiLevelType w:val="hybridMultilevel"/>
    <w:tmpl w:val="DFEACEF6"/>
    <w:lvl w:ilvl="0" w:tplc="589273E6">
      <w:start w:val="1"/>
      <w:numFmt w:val="decimal"/>
      <w:pStyle w:val="Normal"/>
      <w:lvlText w:val="%1."/>
      <w:lvlJc w:val="left"/>
      <w:pPr>
        <w:ind w:left="3338" w:hanging="360"/>
      </w:pPr>
    </w:lvl>
    <w:lvl w:ilvl="1" w:tplc="14090001">
      <w:start w:val="1"/>
      <w:numFmt w:val="bullet"/>
      <w:lvlText w:val=""/>
      <w:lvlJc w:val="left"/>
      <w:pPr>
        <w:ind w:left="2204" w:hanging="360"/>
      </w:pPr>
      <w:rPr>
        <w:rFonts w:ascii="Symbol" w:hAnsi="Symbol" w:hint="default"/>
        <w:i w:val="0"/>
        <w:iCs w:val="0"/>
      </w:rPr>
    </w:lvl>
    <w:lvl w:ilvl="2" w:tplc="1409001B">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 w15:restartNumberingAfterBreak="0">
    <w:nsid w:val="45E10B3A"/>
    <w:multiLevelType w:val="hybridMultilevel"/>
    <w:tmpl w:val="E3B408A2"/>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78A10429"/>
    <w:multiLevelType w:val="multilevel"/>
    <w:tmpl w:val="1B563272"/>
    <w:lvl w:ilvl="0">
      <w:start w:val="1"/>
      <w:numFmt w:val="decimal"/>
      <w:pStyle w:val="1Level1-Numberedlist11ptLNBriefofEvidenceMultiLevel1"/>
      <w:lvlText w:val="%1."/>
      <w:lvlJc w:val="left"/>
      <w:pPr>
        <w:tabs>
          <w:tab w:val="num" w:pos="720"/>
        </w:tabs>
        <w:ind w:left="720" w:hanging="720"/>
      </w:pPr>
      <w:rPr>
        <w:rFonts w:hint="default"/>
        <w:b w:val="0"/>
        <w:i w:val="0"/>
      </w:rPr>
    </w:lvl>
    <w:lvl w:ilvl="1">
      <w:start w:val="1"/>
      <w:numFmt w:val="lowerLetter"/>
      <w:pStyle w:val="aLevel2-11ptLNBriefofEvidenceMultiLevel2"/>
      <w:lvlText w:val="(%2)"/>
      <w:lvlJc w:val="left"/>
      <w:pPr>
        <w:tabs>
          <w:tab w:val="num" w:pos="1440"/>
        </w:tabs>
        <w:ind w:left="1440" w:hanging="720"/>
      </w:pPr>
      <w:rPr>
        <w:rFonts w:hint="default"/>
      </w:rPr>
    </w:lvl>
    <w:lvl w:ilvl="2">
      <w:start w:val="1"/>
      <w:numFmt w:val="lowerRoman"/>
      <w:pStyle w:val="iLevel3-11ptLNBriefofEvidenceMultiLevel3"/>
      <w:lvlText w:val="(%3)"/>
      <w:lvlJc w:val="left"/>
      <w:pPr>
        <w:tabs>
          <w:tab w:val="num" w:pos="2160"/>
        </w:tabs>
        <w:ind w:left="2160" w:hanging="720"/>
      </w:pPr>
      <w:rPr>
        <w:rFonts w:hint="default"/>
      </w:rPr>
    </w:lvl>
    <w:lvl w:ilvl="3">
      <w:start w:val="1"/>
      <w:numFmt w:val="upperLetter"/>
      <w:pStyle w:val="ALevel4-11ptLNBriefofEvidenceMultiLevel4"/>
      <w:lvlText w:val="(%4)"/>
      <w:lvlJc w:val="left"/>
      <w:pPr>
        <w:tabs>
          <w:tab w:val="num" w:pos="2880"/>
        </w:tabs>
        <w:ind w:left="2880" w:hanging="720"/>
      </w:pPr>
      <w:rPr>
        <w:rFonts w:hint="default"/>
      </w:rPr>
    </w:lvl>
    <w:lvl w:ilvl="4">
      <w:start w:val="1"/>
      <w:numFmt w:val="decimal"/>
      <w:pStyle w:val="1Level5-11ptLNBriefofEvidenceMultiLevel5"/>
      <w:lvlText w:val="(%5)"/>
      <w:lvlJc w:val="left"/>
      <w:pPr>
        <w:tabs>
          <w:tab w:val="num" w:pos="3600"/>
        </w:tabs>
        <w:ind w:left="3600" w:hanging="720"/>
      </w:pPr>
      <w:rPr>
        <w:rFonts w:hint="default"/>
      </w:rPr>
    </w:lvl>
    <w:lvl w:ilvl="5">
      <w:start w:val="1"/>
      <w:numFmt w:val="lowerLetter"/>
      <w:lvlText w:val="(%6)"/>
      <w:lvlJc w:val="left"/>
      <w:pPr>
        <w:tabs>
          <w:tab w:val="num" w:pos="4321"/>
        </w:tabs>
        <w:ind w:left="4321" w:hanging="721"/>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60909194">
    <w:abstractNumId w:val="1"/>
  </w:num>
  <w:num w:numId="2" w16cid:durableId="1238245663">
    <w:abstractNumId w:val="0"/>
  </w:num>
  <w:num w:numId="3" w16cid:durableId="73550771">
    <w:abstractNumId w:val="4"/>
  </w:num>
  <w:num w:numId="4" w16cid:durableId="1658873978">
    <w:abstractNumId w:val="6"/>
  </w:num>
  <w:num w:numId="5" w16cid:durableId="51003724">
    <w:abstractNumId w:val="2"/>
  </w:num>
  <w:num w:numId="6" w16cid:durableId="213392702">
    <w:abstractNumId w:val="3"/>
  </w:num>
  <w:num w:numId="7" w16cid:durableId="93312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BC"/>
    <w:rsid w:val="00000040"/>
    <w:rsid w:val="0000442C"/>
    <w:rsid w:val="00007E02"/>
    <w:rsid w:val="00010EE1"/>
    <w:rsid w:val="00022EC1"/>
    <w:rsid w:val="000245C6"/>
    <w:rsid w:val="00026EEF"/>
    <w:rsid w:val="00030896"/>
    <w:rsid w:val="00031605"/>
    <w:rsid w:val="00032934"/>
    <w:rsid w:val="0003613C"/>
    <w:rsid w:val="00043A7A"/>
    <w:rsid w:val="00044D95"/>
    <w:rsid w:val="0005657D"/>
    <w:rsid w:val="00056BCF"/>
    <w:rsid w:val="0007204E"/>
    <w:rsid w:val="000776F0"/>
    <w:rsid w:val="00081E71"/>
    <w:rsid w:val="00084974"/>
    <w:rsid w:val="00085C94"/>
    <w:rsid w:val="000B0D6A"/>
    <w:rsid w:val="000B161C"/>
    <w:rsid w:val="000B3395"/>
    <w:rsid w:val="000B58D8"/>
    <w:rsid w:val="000C2094"/>
    <w:rsid w:val="000C3A97"/>
    <w:rsid w:val="000D087C"/>
    <w:rsid w:val="000D0B71"/>
    <w:rsid w:val="000E3B58"/>
    <w:rsid w:val="000E6624"/>
    <w:rsid w:val="000F1499"/>
    <w:rsid w:val="000F4CE3"/>
    <w:rsid w:val="000F6543"/>
    <w:rsid w:val="001043F3"/>
    <w:rsid w:val="00107789"/>
    <w:rsid w:val="0011029C"/>
    <w:rsid w:val="001108E7"/>
    <w:rsid w:val="00110D5A"/>
    <w:rsid w:val="001141BE"/>
    <w:rsid w:val="00140AC1"/>
    <w:rsid w:val="001420F7"/>
    <w:rsid w:val="0014380F"/>
    <w:rsid w:val="00165F99"/>
    <w:rsid w:val="00166D12"/>
    <w:rsid w:val="00176C6E"/>
    <w:rsid w:val="001776A6"/>
    <w:rsid w:val="00183B83"/>
    <w:rsid w:val="001911DC"/>
    <w:rsid w:val="00192FE6"/>
    <w:rsid w:val="0019634A"/>
    <w:rsid w:val="001A6780"/>
    <w:rsid w:val="001B65EF"/>
    <w:rsid w:val="001B788A"/>
    <w:rsid w:val="001D2D30"/>
    <w:rsid w:val="001E0387"/>
    <w:rsid w:val="001E1203"/>
    <w:rsid w:val="001E598E"/>
    <w:rsid w:val="001F09EE"/>
    <w:rsid w:val="001F1614"/>
    <w:rsid w:val="001F4658"/>
    <w:rsid w:val="001F4E39"/>
    <w:rsid w:val="001F699A"/>
    <w:rsid w:val="001F7828"/>
    <w:rsid w:val="00204980"/>
    <w:rsid w:val="00204A62"/>
    <w:rsid w:val="002137C0"/>
    <w:rsid w:val="00225247"/>
    <w:rsid w:val="0023156E"/>
    <w:rsid w:val="00232DED"/>
    <w:rsid w:val="00243A3A"/>
    <w:rsid w:val="00254C92"/>
    <w:rsid w:val="00255535"/>
    <w:rsid w:val="002636AE"/>
    <w:rsid w:val="00272F4F"/>
    <w:rsid w:val="00275C18"/>
    <w:rsid w:val="002A2B1D"/>
    <w:rsid w:val="002B64F4"/>
    <w:rsid w:val="002C47AD"/>
    <w:rsid w:val="002C4EEB"/>
    <w:rsid w:val="002D3E0D"/>
    <w:rsid w:val="002D6866"/>
    <w:rsid w:val="002D7EA1"/>
    <w:rsid w:val="00304A7E"/>
    <w:rsid w:val="00304C18"/>
    <w:rsid w:val="00310271"/>
    <w:rsid w:val="003106CD"/>
    <w:rsid w:val="0032522A"/>
    <w:rsid w:val="00326C4F"/>
    <w:rsid w:val="00336F4A"/>
    <w:rsid w:val="00340A4D"/>
    <w:rsid w:val="00347C7C"/>
    <w:rsid w:val="003537B2"/>
    <w:rsid w:val="00367A75"/>
    <w:rsid w:val="003778F0"/>
    <w:rsid w:val="0038313E"/>
    <w:rsid w:val="003836FC"/>
    <w:rsid w:val="0038475B"/>
    <w:rsid w:val="00394B11"/>
    <w:rsid w:val="003A7E8D"/>
    <w:rsid w:val="003B2401"/>
    <w:rsid w:val="003B3CC9"/>
    <w:rsid w:val="003C0AB2"/>
    <w:rsid w:val="003C4A47"/>
    <w:rsid w:val="003F3EAA"/>
    <w:rsid w:val="003F54FF"/>
    <w:rsid w:val="003F5AC8"/>
    <w:rsid w:val="00404346"/>
    <w:rsid w:val="00404C67"/>
    <w:rsid w:val="00407CBA"/>
    <w:rsid w:val="00436596"/>
    <w:rsid w:val="0044007A"/>
    <w:rsid w:val="00456F09"/>
    <w:rsid w:val="00460C8C"/>
    <w:rsid w:val="004656A1"/>
    <w:rsid w:val="004709EC"/>
    <w:rsid w:val="00470EE5"/>
    <w:rsid w:val="004809AD"/>
    <w:rsid w:val="004832E2"/>
    <w:rsid w:val="0049508A"/>
    <w:rsid w:val="00495BFF"/>
    <w:rsid w:val="004979AE"/>
    <w:rsid w:val="004A7073"/>
    <w:rsid w:val="004B03B4"/>
    <w:rsid w:val="004B36CD"/>
    <w:rsid w:val="004B70F8"/>
    <w:rsid w:val="004C3967"/>
    <w:rsid w:val="004D21DC"/>
    <w:rsid w:val="004D3315"/>
    <w:rsid w:val="004F5390"/>
    <w:rsid w:val="004F54A1"/>
    <w:rsid w:val="005019D2"/>
    <w:rsid w:val="00504BD4"/>
    <w:rsid w:val="00512E0D"/>
    <w:rsid w:val="005168AD"/>
    <w:rsid w:val="005231E0"/>
    <w:rsid w:val="00524492"/>
    <w:rsid w:val="00551881"/>
    <w:rsid w:val="00563046"/>
    <w:rsid w:val="00575F4C"/>
    <w:rsid w:val="0057668C"/>
    <w:rsid w:val="005775D9"/>
    <w:rsid w:val="00584125"/>
    <w:rsid w:val="00586D43"/>
    <w:rsid w:val="00591F76"/>
    <w:rsid w:val="00592B74"/>
    <w:rsid w:val="005A1A4A"/>
    <w:rsid w:val="005A1B1B"/>
    <w:rsid w:val="005A27B4"/>
    <w:rsid w:val="005A65A1"/>
    <w:rsid w:val="005B20A0"/>
    <w:rsid w:val="005B2452"/>
    <w:rsid w:val="005B3018"/>
    <w:rsid w:val="005B3EF1"/>
    <w:rsid w:val="005B4E60"/>
    <w:rsid w:val="005B7F6C"/>
    <w:rsid w:val="005C528B"/>
    <w:rsid w:val="005D246E"/>
    <w:rsid w:val="005D4DF4"/>
    <w:rsid w:val="005D54AE"/>
    <w:rsid w:val="005E0556"/>
    <w:rsid w:val="005E2FB9"/>
    <w:rsid w:val="005E5C0C"/>
    <w:rsid w:val="005F08AD"/>
    <w:rsid w:val="005F7A3E"/>
    <w:rsid w:val="0060066F"/>
    <w:rsid w:val="00600724"/>
    <w:rsid w:val="00602149"/>
    <w:rsid w:val="0061368F"/>
    <w:rsid w:val="0062450E"/>
    <w:rsid w:val="00634507"/>
    <w:rsid w:val="00640EDC"/>
    <w:rsid w:val="006455B6"/>
    <w:rsid w:val="00645D09"/>
    <w:rsid w:val="0066017A"/>
    <w:rsid w:val="0066246F"/>
    <w:rsid w:val="006745E5"/>
    <w:rsid w:val="006852A2"/>
    <w:rsid w:val="00690088"/>
    <w:rsid w:val="006A0200"/>
    <w:rsid w:val="006A0EAA"/>
    <w:rsid w:val="006A657A"/>
    <w:rsid w:val="006B2BC3"/>
    <w:rsid w:val="006B5E56"/>
    <w:rsid w:val="006B70A9"/>
    <w:rsid w:val="006C6702"/>
    <w:rsid w:val="006C696B"/>
    <w:rsid w:val="006D521E"/>
    <w:rsid w:val="006E0A3F"/>
    <w:rsid w:val="006E0E43"/>
    <w:rsid w:val="006F1F69"/>
    <w:rsid w:val="006F5D2C"/>
    <w:rsid w:val="00705F1D"/>
    <w:rsid w:val="00713C8F"/>
    <w:rsid w:val="00715C07"/>
    <w:rsid w:val="00734F0D"/>
    <w:rsid w:val="00735EC6"/>
    <w:rsid w:val="00747FFA"/>
    <w:rsid w:val="007514AF"/>
    <w:rsid w:val="00763ABE"/>
    <w:rsid w:val="00763DBE"/>
    <w:rsid w:val="0076784D"/>
    <w:rsid w:val="00767D57"/>
    <w:rsid w:val="0077792F"/>
    <w:rsid w:val="007851C9"/>
    <w:rsid w:val="00785F16"/>
    <w:rsid w:val="0078705C"/>
    <w:rsid w:val="007965D7"/>
    <w:rsid w:val="007A1757"/>
    <w:rsid w:val="007A546F"/>
    <w:rsid w:val="007C384F"/>
    <w:rsid w:val="007D59F5"/>
    <w:rsid w:val="007D6844"/>
    <w:rsid w:val="007D7A50"/>
    <w:rsid w:val="007E39B4"/>
    <w:rsid w:val="007F365B"/>
    <w:rsid w:val="007F4C8E"/>
    <w:rsid w:val="007F62C3"/>
    <w:rsid w:val="00802556"/>
    <w:rsid w:val="00811E00"/>
    <w:rsid w:val="00817E27"/>
    <w:rsid w:val="0082045C"/>
    <w:rsid w:val="00827A61"/>
    <w:rsid w:val="008339C9"/>
    <w:rsid w:val="008376A5"/>
    <w:rsid w:val="00842F04"/>
    <w:rsid w:val="008434FC"/>
    <w:rsid w:val="00843F27"/>
    <w:rsid w:val="008454DC"/>
    <w:rsid w:val="00862861"/>
    <w:rsid w:val="008675BC"/>
    <w:rsid w:val="008704D3"/>
    <w:rsid w:val="00871E3B"/>
    <w:rsid w:val="008806C8"/>
    <w:rsid w:val="00881900"/>
    <w:rsid w:val="00881D6B"/>
    <w:rsid w:val="008A1126"/>
    <w:rsid w:val="008C269D"/>
    <w:rsid w:val="008C341D"/>
    <w:rsid w:val="008C75C9"/>
    <w:rsid w:val="008D7617"/>
    <w:rsid w:val="008E07D3"/>
    <w:rsid w:val="008F41B9"/>
    <w:rsid w:val="008F565D"/>
    <w:rsid w:val="008F594D"/>
    <w:rsid w:val="00902F3C"/>
    <w:rsid w:val="009119BE"/>
    <w:rsid w:val="00912BAF"/>
    <w:rsid w:val="00916CA3"/>
    <w:rsid w:val="00921362"/>
    <w:rsid w:val="00933306"/>
    <w:rsid w:val="00935E92"/>
    <w:rsid w:val="00943359"/>
    <w:rsid w:val="00950023"/>
    <w:rsid w:val="009535A9"/>
    <w:rsid w:val="00957733"/>
    <w:rsid w:val="00965647"/>
    <w:rsid w:val="00983CCA"/>
    <w:rsid w:val="00987673"/>
    <w:rsid w:val="00997AA7"/>
    <w:rsid w:val="009A1121"/>
    <w:rsid w:val="009A11EA"/>
    <w:rsid w:val="009A31CC"/>
    <w:rsid w:val="009A62F0"/>
    <w:rsid w:val="009C04E2"/>
    <w:rsid w:val="009C3314"/>
    <w:rsid w:val="009C3B3B"/>
    <w:rsid w:val="009C4975"/>
    <w:rsid w:val="009C56F2"/>
    <w:rsid w:val="009E21DD"/>
    <w:rsid w:val="00A002FA"/>
    <w:rsid w:val="00A16210"/>
    <w:rsid w:val="00A26BD4"/>
    <w:rsid w:val="00A31B3E"/>
    <w:rsid w:val="00A326CA"/>
    <w:rsid w:val="00A33DD8"/>
    <w:rsid w:val="00A427C4"/>
    <w:rsid w:val="00A45265"/>
    <w:rsid w:val="00A54001"/>
    <w:rsid w:val="00A62442"/>
    <w:rsid w:val="00A63AE5"/>
    <w:rsid w:val="00A74A16"/>
    <w:rsid w:val="00A759B9"/>
    <w:rsid w:val="00A869F9"/>
    <w:rsid w:val="00AA792C"/>
    <w:rsid w:val="00AB4BFA"/>
    <w:rsid w:val="00AB4ECA"/>
    <w:rsid w:val="00AC534E"/>
    <w:rsid w:val="00AC7323"/>
    <w:rsid w:val="00AD4B52"/>
    <w:rsid w:val="00AD5CE3"/>
    <w:rsid w:val="00AE1163"/>
    <w:rsid w:val="00AE3ABB"/>
    <w:rsid w:val="00AE5200"/>
    <w:rsid w:val="00AE5BA4"/>
    <w:rsid w:val="00AF4F34"/>
    <w:rsid w:val="00AF6321"/>
    <w:rsid w:val="00B0156C"/>
    <w:rsid w:val="00B13848"/>
    <w:rsid w:val="00B14800"/>
    <w:rsid w:val="00B15279"/>
    <w:rsid w:val="00B25336"/>
    <w:rsid w:val="00B33F98"/>
    <w:rsid w:val="00B43700"/>
    <w:rsid w:val="00B65127"/>
    <w:rsid w:val="00B660F9"/>
    <w:rsid w:val="00B7143A"/>
    <w:rsid w:val="00B82BAE"/>
    <w:rsid w:val="00B84C16"/>
    <w:rsid w:val="00B91E51"/>
    <w:rsid w:val="00B93E2B"/>
    <w:rsid w:val="00B96441"/>
    <w:rsid w:val="00BA1688"/>
    <w:rsid w:val="00BB30A3"/>
    <w:rsid w:val="00BB44A7"/>
    <w:rsid w:val="00BC43EF"/>
    <w:rsid w:val="00BC5D7C"/>
    <w:rsid w:val="00BC666C"/>
    <w:rsid w:val="00BD1913"/>
    <w:rsid w:val="00BD5555"/>
    <w:rsid w:val="00BE4478"/>
    <w:rsid w:val="00BF1CFB"/>
    <w:rsid w:val="00BF5CDD"/>
    <w:rsid w:val="00C14A8A"/>
    <w:rsid w:val="00C15965"/>
    <w:rsid w:val="00C2252C"/>
    <w:rsid w:val="00C226B9"/>
    <w:rsid w:val="00C31C8A"/>
    <w:rsid w:val="00C419B4"/>
    <w:rsid w:val="00C439DB"/>
    <w:rsid w:val="00C5205C"/>
    <w:rsid w:val="00C66935"/>
    <w:rsid w:val="00C703B0"/>
    <w:rsid w:val="00C70FF6"/>
    <w:rsid w:val="00C73092"/>
    <w:rsid w:val="00C911CB"/>
    <w:rsid w:val="00CA6FC2"/>
    <w:rsid w:val="00CA7884"/>
    <w:rsid w:val="00CB505D"/>
    <w:rsid w:val="00CB61DB"/>
    <w:rsid w:val="00CC169A"/>
    <w:rsid w:val="00CC5BFF"/>
    <w:rsid w:val="00CD17D5"/>
    <w:rsid w:val="00D001A3"/>
    <w:rsid w:val="00D005CE"/>
    <w:rsid w:val="00D00CB7"/>
    <w:rsid w:val="00D060C9"/>
    <w:rsid w:val="00D064AF"/>
    <w:rsid w:val="00D173C6"/>
    <w:rsid w:val="00D20A30"/>
    <w:rsid w:val="00D23CB7"/>
    <w:rsid w:val="00D427C9"/>
    <w:rsid w:val="00D442F1"/>
    <w:rsid w:val="00D527F5"/>
    <w:rsid w:val="00D55E63"/>
    <w:rsid w:val="00D60D66"/>
    <w:rsid w:val="00D66AEB"/>
    <w:rsid w:val="00D67D27"/>
    <w:rsid w:val="00D7020C"/>
    <w:rsid w:val="00D73892"/>
    <w:rsid w:val="00D82B1A"/>
    <w:rsid w:val="00D87FE7"/>
    <w:rsid w:val="00D97664"/>
    <w:rsid w:val="00DA2E8B"/>
    <w:rsid w:val="00DA77AB"/>
    <w:rsid w:val="00DD3C78"/>
    <w:rsid w:val="00DD402E"/>
    <w:rsid w:val="00DE3A18"/>
    <w:rsid w:val="00DF0765"/>
    <w:rsid w:val="00E01441"/>
    <w:rsid w:val="00E14EDF"/>
    <w:rsid w:val="00E20C7C"/>
    <w:rsid w:val="00E2132C"/>
    <w:rsid w:val="00E21622"/>
    <w:rsid w:val="00E241D3"/>
    <w:rsid w:val="00E24B8C"/>
    <w:rsid w:val="00E26FBC"/>
    <w:rsid w:val="00E300DE"/>
    <w:rsid w:val="00E327DE"/>
    <w:rsid w:val="00E34950"/>
    <w:rsid w:val="00E3555C"/>
    <w:rsid w:val="00E40705"/>
    <w:rsid w:val="00E407A0"/>
    <w:rsid w:val="00E51F9F"/>
    <w:rsid w:val="00E52BF7"/>
    <w:rsid w:val="00E56810"/>
    <w:rsid w:val="00E65C20"/>
    <w:rsid w:val="00E81068"/>
    <w:rsid w:val="00E87F15"/>
    <w:rsid w:val="00E90642"/>
    <w:rsid w:val="00E96ABC"/>
    <w:rsid w:val="00EA16D7"/>
    <w:rsid w:val="00EA5CFB"/>
    <w:rsid w:val="00ED4983"/>
    <w:rsid w:val="00ED4CB5"/>
    <w:rsid w:val="00EE159B"/>
    <w:rsid w:val="00EE6E46"/>
    <w:rsid w:val="00EF3195"/>
    <w:rsid w:val="00F03626"/>
    <w:rsid w:val="00F2625E"/>
    <w:rsid w:val="00F27460"/>
    <w:rsid w:val="00F32FDB"/>
    <w:rsid w:val="00F33B67"/>
    <w:rsid w:val="00F3707B"/>
    <w:rsid w:val="00F42FE1"/>
    <w:rsid w:val="00F473F6"/>
    <w:rsid w:val="00F5554C"/>
    <w:rsid w:val="00F61CBC"/>
    <w:rsid w:val="00F708E0"/>
    <w:rsid w:val="00F765EF"/>
    <w:rsid w:val="00F82603"/>
    <w:rsid w:val="00F82AFE"/>
    <w:rsid w:val="00F8517D"/>
    <w:rsid w:val="00F863DE"/>
    <w:rsid w:val="00F90AFE"/>
    <w:rsid w:val="00FA1121"/>
    <w:rsid w:val="00FA1B3A"/>
    <w:rsid w:val="00FB5BDC"/>
    <w:rsid w:val="00FB6825"/>
    <w:rsid w:val="00FC210A"/>
    <w:rsid w:val="00FC2800"/>
    <w:rsid w:val="00FD65B0"/>
    <w:rsid w:val="00FD77B2"/>
    <w:rsid w:val="00FE05B3"/>
    <w:rsid w:val="00FE3038"/>
    <w:rsid w:val="00FE3E6C"/>
    <w:rsid w:val="00FF1B94"/>
    <w:rsid w:val="00FF2286"/>
    <w:rsid w:val="00FF742C"/>
    <w:rsid w:val="0167FEE5"/>
    <w:rsid w:val="076AC781"/>
    <w:rsid w:val="11597A3C"/>
    <w:rsid w:val="3C637603"/>
    <w:rsid w:val="43CCDB63"/>
    <w:rsid w:val="4C8B3516"/>
    <w:rsid w:val="50DE8F7B"/>
    <w:rsid w:val="64E33D67"/>
    <w:rsid w:val="651E5F4F"/>
    <w:rsid w:val="700A152D"/>
    <w:rsid w:val="7B800E2F"/>
    <w:rsid w:val="7D6EE6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258B"/>
  <w15:chartTrackingRefBased/>
  <w15:docId w15:val="{29ED6512-9D7C-49EB-A251-B68B505E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CFB"/>
    <w:pPr>
      <w:numPr>
        <w:numId w:val="3"/>
      </w:numPr>
      <w:spacing w:before="120" w:after="0" w:line="240" w:lineRule="auto"/>
      <w:ind w:left="567" w:hanging="425"/>
      <w:jc w:val="both"/>
      <w:outlineLvl w:val="0"/>
    </w:pPr>
    <w:rPr>
      <w:rFonts w:ascii="Century Gothic" w:eastAsia="Times New Roman" w:hAnsi="Century Gothic" w:cstheme="minorHAnsi"/>
      <w:kern w:val="0"/>
      <w:lang w:eastAsia="en-NZ"/>
      <w14:ligatures w14:val="none"/>
    </w:rPr>
  </w:style>
  <w:style w:type="paragraph" w:styleId="Heading1">
    <w:name w:val="heading 1"/>
    <w:basedOn w:val="Normal"/>
    <w:next w:val="Normal"/>
    <w:link w:val="Heading1Char"/>
    <w:uiPriority w:val="9"/>
    <w:qFormat/>
    <w:rsid w:val="00E34950"/>
    <w:pPr>
      <w:keepNext/>
      <w:keepLines/>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F274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1CBC"/>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link w:val="ListParagraphChar"/>
    <w:uiPriority w:val="34"/>
    <w:qFormat/>
    <w:rsid w:val="00F61CBC"/>
    <w:pPr>
      <w:ind w:left="720"/>
      <w:contextualSpacing/>
    </w:pPr>
  </w:style>
  <w:style w:type="paragraph" w:styleId="Caption">
    <w:name w:val="caption"/>
    <w:basedOn w:val="Normal"/>
    <w:next w:val="Normal"/>
    <w:uiPriority w:val="1"/>
    <w:unhideWhenUsed/>
    <w:qFormat/>
    <w:rsid w:val="00CB505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E34950"/>
    <w:rPr>
      <w:rFonts w:asciiTheme="majorHAnsi" w:eastAsiaTheme="majorEastAsia" w:hAnsiTheme="majorHAnsi" w:cstheme="majorBidi"/>
      <w:color w:val="2F5496" w:themeColor="accent1" w:themeShade="BF"/>
      <w:kern w:val="0"/>
      <w:sz w:val="32"/>
      <w:szCs w:val="32"/>
      <w:lang w:val="en-US" w:eastAsia="en-NZ"/>
      <w14:ligatures w14:val="none"/>
    </w:rPr>
  </w:style>
  <w:style w:type="paragraph" w:styleId="Bibliography">
    <w:name w:val="Bibliography"/>
    <w:basedOn w:val="Normal"/>
    <w:next w:val="Normal"/>
    <w:uiPriority w:val="37"/>
    <w:unhideWhenUsed/>
    <w:rsid w:val="00591F7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71E3B"/>
    <w:pPr>
      <w:spacing w:after="0" w:line="240" w:lineRule="auto"/>
    </w:pPr>
  </w:style>
  <w:style w:type="paragraph" w:customStyle="1" w:styleId="1Level1-Numberedlist11ptLNBriefofEvidenceMultiLevel1">
    <w:name w:val="1.  Level 1 - Numbered list (11pt) LN Brief of Evidence (MultiLevel1)"/>
    <w:basedOn w:val="Normal"/>
    <w:link w:val="1Level1-Numberedlist11ptLNBriefofEvidenceMultiLevel1Char"/>
    <w:uiPriority w:val="1"/>
    <w:rsid w:val="005231E0"/>
    <w:pPr>
      <w:numPr>
        <w:numId w:val="4"/>
      </w:numPr>
    </w:pPr>
    <w:rPr>
      <w:rFonts w:ascii="Arial" w:hAnsi="Arial" w:cs="Times New Roman"/>
      <w:szCs w:val="20"/>
    </w:rPr>
  </w:style>
  <w:style w:type="paragraph" w:customStyle="1" w:styleId="aLevel2-11ptLNBriefofEvidenceMultiLevel2">
    <w:name w:val="(a) Level 2 - (11pt) LN Brief of Evidence (MultiLevel2)"/>
    <w:basedOn w:val="1Level1-Numberedlist11ptLNBriefofEvidenceMultiLevel1"/>
    <w:uiPriority w:val="2"/>
    <w:rsid w:val="005231E0"/>
    <w:pPr>
      <w:numPr>
        <w:ilvl w:val="1"/>
      </w:numPr>
      <w:tabs>
        <w:tab w:val="clear" w:pos="1440"/>
        <w:tab w:val="num" w:pos="360"/>
      </w:tabs>
      <w:ind w:hanging="360"/>
      <w:outlineLvl w:val="1"/>
    </w:pPr>
  </w:style>
  <w:style w:type="paragraph" w:customStyle="1" w:styleId="iLevel3-11ptLNBriefofEvidenceMultiLevel3">
    <w:name w:val="(i) Level 3 - (11pt) LN Brief of Evidence (MultiLevel3)"/>
    <w:basedOn w:val="aLevel2-11ptLNBriefofEvidenceMultiLevel2"/>
    <w:uiPriority w:val="3"/>
    <w:rsid w:val="005231E0"/>
    <w:pPr>
      <w:numPr>
        <w:ilvl w:val="2"/>
      </w:numPr>
      <w:tabs>
        <w:tab w:val="clear" w:pos="2160"/>
        <w:tab w:val="num" w:pos="360"/>
      </w:tabs>
      <w:ind w:hanging="180"/>
      <w:outlineLvl w:val="2"/>
    </w:pPr>
  </w:style>
  <w:style w:type="paragraph" w:customStyle="1" w:styleId="ALevel4-11ptLNBriefofEvidenceMultiLevel4">
    <w:name w:val="(A) Level 4 - (11pt) LN Brief of Evidence (MultiLevel4)"/>
    <w:basedOn w:val="iLevel3-11ptLNBriefofEvidenceMultiLevel3"/>
    <w:uiPriority w:val="4"/>
    <w:rsid w:val="005231E0"/>
    <w:pPr>
      <w:numPr>
        <w:ilvl w:val="3"/>
      </w:numPr>
      <w:tabs>
        <w:tab w:val="clear" w:pos="2880"/>
        <w:tab w:val="num" w:pos="360"/>
      </w:tabs>
      <w:ind w:hanging="360"/>
      <w:outlineLvl w:val="9"/>
    </w:pPr>
  </w:style>
  <w:style w:type="paragraph" w:customStyle="1" w:styleId="1Level5-11ptLNBriefofEvidenceMultiLevel5">
    <w:name w:val="(1) Level 5 - (11pt) LN Brief of Evidence (MultiLevel5)"/>
    <w:basedOn w:val="ALevel4-11ptLNBriefofEvidenceMultiLevel4"/>
    <w:uiPriority w:val="5"/>
    <w:rsid w:val="005231E0"/>
    <w:pPr>
      <w:numPr>
        <w:ilvl w:val="4"/>
      </w:numPr>
      <w:tabs>
        <w:tab w:val="clear" w:pos="3600"/>
        <w:tab w:val="num" w:pos="360"/>
      </w:tabs>
      <w:ind w:hanging="360"/>
    </w:pPr>
  </w:style>
  <w:style w:type="character" w:customStyle="1" w:styleId="1Level1-Numberedlist11ptLNBriefofEvidenceMultiLevel1Char">
    <w:name w:val="1.  Level 1 - Numbered list (11pt) LN Brief of Evidence (MultiLevel1) Char"/>
    <w:basedOn w:val="DefaultParagraphFont"/>
    <w:link w:val="1Level1-Numberedlist11ptLNBriefofEvidenceMultiLevel1"/>
    <w:uiPriority w:val="1"/>
    <w:rsid w:val="005231E0"/>
    <w:rPr>
      <w:rFonts w:ascii="Arial" w:eastAsia="Times New Roman" w:hAnsi="Arial" w:cs="Times New Roman"/>
      <w:kern w:val="0"/>
      <w:szCs w:val="20"/>
      <w:lang w:eastAsia="en-NZ"/>
      <w14:ligatures w14:val="none"/>
    </w:rPr>
  </w:style>
  <w:style w:type="paragraph" w:styleId="ListNumber">
    <w:name w:val="List Number"/>
    <w:aliases w:val="Level 1 Para Numbering"/>
    <w:basedOn w:val="1Level1-Numberedlist11ptLNBriefofEvidenceMultiLevel1"/>
    <w:uiPriority w:val="2"/>
    <w:qFormat/>
    <w:rsid w:val="005231E0"/>
    <w:pPr>
      <w:numPr>
        <w:numId w:val="3"/>
      </w:numPr>
      <w:ind w:left="567" w:hanging="567"/>
    </w:pPr>
  </w:style>
  <w:style w:type="character" w:customStyle="1" w:styleId="Heading2Char">
    <w:name w:val="Heading 2 Char"/>
    <w:basedOn w:val="DefaultParagraphFont"/>
    <w:link w:val="Heading2"/>
    <w:uiPriority w:val="9"/>
    <w:semiHidden/>
    <w:rsid w:val="00F27460"/>
    <w:rPr>
      <w:rFonts w:asciiTheme="majorHAnsi" w:eastAsiaTheme="majorEastAsia" w:hAnsiTheme="majorHAnsi" w:cstheme="majorBidi"/>
      <w:color w:val="2F5496" w:themeColor="accent1" w:themeShade="BF"/>
      <w:kern w:val="0"/>
      <w:sz w:val="26"/>
      <w:szCs w:val="26"/>
      <w:lang w:eastAsia="en-NZ"/>
      <w14:ligatures w14:val="none"/>
    </w:rPr>
  </w:style>
  <w:style w:type="paragraph" w:styleId="FootnoteText">
    <w:name w:val="footnote text"/>
    <w:basedOn w:val="Normal"/>
    <w:link w:val="FootnoteTextChar"/>
    <w:semiHidden/>
    <w:rsid w:val="00F27460"/>
    <w:pPr>
      <w:numPr>
        <w:numId w:val="0"/>
      </w:numPr>
      <w:spacing w:before="0" w:line="360" w:lineRule="atLeast"/>
      <w:outlineLvl w:val="9"/>
    </w:pPr>
    <w:rPr>
      <w:rFonts w:cs="Arial"/>
      <w:szCs w:val="20"/>
      <w:lang w:val="en-AU" w:eastAsia="en-US"/>
    </w:rPr>
  </w:style>
  <w:style w:type="character" w:customStyle="1" w:styleId="FootnoteTextChar">
    <w:name w:val="Footnote Text Char"/>
    <w:basedOn w:val="DefaultParagraphFont"/>
    <w:link w:val="FootnoteText"/>
    <w:semiHidden/>
    <w:rsid w:val="00F27460"/>
    <w:rPr>
      <w:rFonts w:ascii="Century Gothic" w:eastAsia="Times New Roman" w:hAnsi="Century Gothic" w:cs="Arial"/>
      <w:kern w:val="0"/>
      <w:szCs w:val="20"/>
      <w:lang w:val="en-AU"/>
      <w14:ligatures w14:val="none"/>
    </w:rPr>
  </w:style>
  <w:style w:type="character" w:styleId="Hyperlink">
    <w:name w:val="Hyperlink"/>
    <w:uiPriority w:val="99"/>
    <w:rsid w:val="00F27460"/>
    <w:rPr>
      <w:rFonts w:ascii="Calibri" w:hAnsi="Calibri"/>
      <w:sz w:val="20"/>
      <w:szCs w:val="22"/>
    </w:rPr>
  </w:style>
  <w:style w:type="table" w:styleId="TableGrid">
    <w:name w:val="Table Grid"/>
    <w:basedOn w:val="TableNormal"/>
    <w:uiPriority w:val="59"/>
    <w:rsid w:val="00F27460"/>
    <w:pPr>
      <w:spacing w:after="0" w:line="360" w:lineRule="atLeast"/>
      <w:jc w:val="both"/>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27460"/>
    <w:rPr>
      <w:rFonts w:ascii="Century Gothic" w:eastAsia="Times New Roman" w:hAnsi="Century Gothic" w:cstheme="minorHAnsi"/>
      <w:kern w:val="0"/>
      <w:lang w:eastAsia="en-NZ"/>
      <w14:ligatures w14:val="none"/>
    </w:rPr>
  </w:style>
  <w:style w:type="character" w:styleId="FootnoteReference">
    <w:name w:val="footnote reference"/>
    <w:basedOn w:val="DefaultParagraphFont"/>
    <w:uiPriority w:val="99"/>
    <w:semiHidden/>
    <w:unhideWhenUsed/>
    <w:rsid w:val="00F27460"/>
    <w:rPr>
      <w:vertAlign w:val="superscript"/>
    </w:rPr>
  </w:style>
  <w:style w:type="paragraph" w:styleId="Header">
    <w:name w:val="header"/>
    <w:basedOn w:val="Normal"/>
    <w:link w:val="HeaderChar"/>
    <w:uiPriority w:val="99"/>
    <w:unhideWhenUsed/>
    <w:rsid w:val="00BD1913"/>
    <w:pPr>
      <w:tabs>
        <w:tab w:val="center" w:pos="4513"/>
        <w:tab w:val="right" w:pos="9026"/>
      </w:tabs>
      <w:spacing w:before="0"/>
    </w:pPr>
  </w:style>
  <w:style w:type="character" w:customStyle="1" w:styleId="HeaderChar">
    <w:name w:val="Header Char"/>
    <w:basedOn w:val="DefaultParagraphFont"/>
    <w:link w:val="Header"/>
    <w:uiPriority w:val="99"/>
    <w:rsid w:val="00BD1913"/>
    <w:rPr>
      <w:rFonts w:ascii="Century Gothic" w:eastAsia="Times New Roman" w:hAnsi="Century Gothic" w:cstheme="minorHAnsi"/>
      <w:kern w:val="0"/>
      <w:lang w:eastAsia="en-NZ"/>
      <w14:ligatures w14:val="none"/>
    </w:rPr>
  </w:style>
  <w:style w:type="paragraph" w:styleId="Footer">
    <w:name w:val="footer"/>
    <w:basedOn w:val="Normal"/>
    <w:link w:val="FooterChar"/>
    <w:uiPriority w:val="99"/>
    <w:unhideWhenUsed/>
    <w:rsid w:val="00BD1913"/>
    <w:pPr>
      <w:tabs>
        <w:tab w:val="center" w:pos="4513"/>
        <w:tab w:val="right" w:pos="9026"/>
      </w:tabs>
      <w:spacing w:before="0"/>
    </w:pPr>
  </w:style>
  <w:style w:type="character" w:customStyle="1" w:styleId="FooterChar">
    <w:name w:val="Footer Char"/>
    <w:basedOn w:val="DefaultParagraphFont"/>
    <w:link w:val="Footer"/>
    <w:uiPriority w:val="99"/>
    <w:rsid w:val="00BD1913"/>
    <w:rPr>
      <w:rFonts w:ascii="Century Gothic" w:eastAsia="Times New Roman" w:hAnsi="Century Gothic" w:cstheme="minorHAnsi"/>
      <w:kern w:val="0"/>
      <w:lang w:eastAsia="en-NZ"/>
      <w14:ligatures w14:val="none"/>
    </w:rPr>
  </w:style>
  <w:style w:type="character" w:styleId="SubtleEmphasis">
    <w:name w:val="Subtle Emphasis"/>
    <w:basedOn w:val="DefaultParagraphFont"/>
    <w:uiPriority w:val="19"/>
    <w:qFormat/>
    <w:rsid w:val="006006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4942">
      <w:bodyDiv w:val="1"/>
      <w:marLeft w:val="0"/>
      <w:marRight w:val="0"/>
      <w:marTop w:val="0"/>
      <w:marBottom w:val="0"/>
      <w:divBdr>
        <w:top w:val="none" w:sz="0" w:space="0" w:color="auto"/>
        <w:left w:val="none" w:sz="0" w:space="0" w:color="auto"/>
        <w:bottom w:val="none" w:sz="0" w:space="0" w:color="auto"/>
        <w:right w:val="none" w:sz="0" w:space="0" w:color="auto"/>
      </w:divBdr>
    </w:div>
    <w:div w:id="929463297">
      <w:bodyDiv w:val="1"/>
      <w:marLeft w:val="0"/>
      <w:marRight w:val="0"/>
      <w:marTop w:val="0"/>
      <w:marBottom w:val="0"/>
      <w:divBdr>
        <w:top w:val="none" w:sz="0" w:space="0" w:color="auto"/>
        <w:left w:val="none" w:sz="0" w:space="0" w:color="auto"/>
        <w:bottom w:val="none" w:sz="0" w:space="0" w:color="auto"/>
        <w:right w:val="none" w:sz="0" w:space="0" w:color="auto"/>
      </w:divBdr>
    </w:div>
    <w:div w:id="1207256752">
      <w:bodyDiv w:val="1"/>
      <w:marLeft w:val="0"/>
      <w:marRight w:val="0"/>
      <w:marTop w:val="0"/>
      <w:marBottom w:val="0"/>
      <w:divBdr>
        <w:top w:val="none" w:sz="0" w:space="0" w:color="auto"/>
        <w:left w:val="none" w:sz="0" w:space="0" w:color="auto"/>
        <w:bottom w:val="none" w:sz="0" w:space="0" w:color="auto"/>
        <w:right w:val="none" w:sz="0" w:space="0" w:color="auto"/>
      </w:divBdr>
    </w:div>
    <w:div w:id="1354498250">
      <w:bodyDiv w:val="1"/>
      <w:marLeft w:val="0"/>
      <w:marRight w:val="0"/>
      <w:marTop w:val="0"/>
      <w:marBottom w:val="0"/>
      <w:divBdr>
        <w:top w:val="none" w:sz="0" w:space="0" w:color="auto"/>
        <w:left w:val="none" w:sz="0" w:space="0" w:color="auto"/>
        <w:bottom w:val="none" w:sz="0" w:space="0" w:color="auto"/>
        <w:right w:val="none" w:sz="0" w:space="0" w:color="auto"/>
      </w:divBdr>
    </w:div>
    <w:div w:id="1593583692">
      <w:bodyDiv w:val="1"/>
      <w:marLeft w:val="0"/>
      <w:marRight w:val="0"/>
      <w:marTop w:val="0"/>
      <w:marBottom w:val="0"/>
      <w:divBdr>
        <w:top w:val="none" w:sz="0" w:space="0" w:color="auto"/>
        <w:left w:val="none" w:sz="0" w:space="0" w:color="auto"/>
        <w:bottom w:val="none" w:sz="0" w:space="0" w:color="auto"/>
        <w:right w:val="none" w:sz="0" w:space="0" w:color="auto"/>
      </w:divBdr>
    </w:div>
    <w:div w:id="1730223567">
      <w:bodyDiv w:val="1"/>
      <w:marLeft w:val="0"/>
      <w:marRight w:val="0"/>
      <w:marTop w:val="0"/>
      <w:marBottom w:val="0"/>
      <w:divBdr>
        <w:top w:val="none" w:sz="0" w:space="0" w:color="auto"/>
        <w:left w:val="none" w:sz="0" w:space="0" w:color="auto"/>
        <w:bottom w:val="none" w:sz="0" w:space="0" w:color="auto"/>
        <w:right w:val="none" w:sz="0" w:space="0" w:color="auto"/>
      </w:divBdr>
    </w:div>
    <w:div w:id="2083747095">
      <w:bodyDiv w:val="1"/>
      <w:marLeft w:val="0"/>
      <w:marRight w:val="0"/>
      <w:marTop w:val="0"/>
      <w:marBottom w:val="0"/>
      <w:divBdr>
        <w:top w:val="none" w:sz="0" w:space="0" w:color="auto"/>
        <w:left w:val="none" w:sz="0" w:space="0" w:color="auto"/>
        <w:bottom w:val="none" w:sz="0" w:space="0" w:color="auto"/>
        <w:right w:val="none" w:sz="0" w:space="0" w:color="auto"/>
      </w:divBdr>
    </w:div>
    <w:div w:id="21432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b97711-a0e4-4794-bda5-621c83916593">
      <Terms xmlns="http://schemas.microsoft.com/office/infopath/2007/PartnerControls"/>
    </lcf76f155ced4ddcb4097134ff3c332f>
    <TaxCatchAll xmlns="4d0f05f2-8993-46a4-922c-9db1a8ba2b1c" xsi:nil="true"/>
    <SharedWithUsers xmlns="4d0f05f2-8993-46a4-922c-9db1a8ba2b1c">
      <UserInfo>
        <DisplayName>Alexandra Badenhop</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Rop18</b:Tag>
    <b:SourceType>Report</b:SourceType>
    <b:Guid>{2C751CF2-6EC8-43A2-B666-EE8742853DA9}</b:Guid>
    <b:Title>Ecological impact assessment, EIANZ guidelines for use in New Zealand: terrestrial and freshwater ecosystems. 2nd edition.</b:Title>
    <b:Year>2018</b:Year>
    <b:City>Melbourne</b:City>
    <b:Publisher>EIANZ</b:Publisher>
    <b:Author>
      <b:Author>
        <b:NameList>
          <b:Person>
            <b:Last>Roper-Lindsay</b:Last>
            <b:First>J</b:First>
          </b:Person>
          <b:Person>
            <b:Last>Fuller</b:Last>
            <b:Middle>A</b:Middle>
            <b:First>S</b:First>
          </b:Person>
          <b:Person>
            <b:Last>Hoosen</b:Last>
            <b:First>S</b:First>
          </b:Person>
          <b:Person>
            <b:Last>Sanders</b:Last>
            <b:Middle>D</b:Middle>
            <b:First>M</b:First>
          </b:Person>
          <b:Person>
            <b:Last>Ussher</b:Last>
            <b:Middle>T</b:Middle>
            <b:First>G</b:First>
          </b:Person>
        </b:NameList>
      </b:Author>
    </b:Author>
    <b:RefOrder>2</b:RefOrder>
  </b:Source>
  <b:Source>
    <b:Tag>All24</b:Tag>
    <b:SourceType>Misc</b:SourceType>
    <b:Guid>{222D0C40-9E50-406D-93F3-AF4E09EB1F65}</b:Guid>
    <b:Title>Evidence of Richard Mark Allibone on behalf Hawkeswood Mining Limited (Freshwater Ecology)</b:Title>
    <b:Year>2024</b:Year>
    <b:Month>April</b:Month>
    <b:Day>29</b:Day>
    <b:Author>
      <b:Author>
        <b:NameList>
          <b:Person>
            <b:Last>Allibone</b:Last>
            <b:First>Richard</b:First>
            <b:Middle>Mark</b:Middle>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7B81DCB113C54E80BCB642CB5410FC" ma:contentTypeVersion="15" ma:contentTypeDescription="Create a new document." ma:contentTypeScope="" ma:versionID="1ec4c38285a49c89824b55f8ba8e2729">
  <xsd:schema xmlns:xsd="http://www.w3.org/2001/XMLSchema" xmlns:xs="http://www.w3.org/2001/XMLSchema" xmlns:p="http://schemas.microsoft.com/office/2006/metadata/properties" xmlns:ns2="23b97711-a0e4-4794-bda5-621c83916593" xmlns:ns3="4d0f05f2-8993-46a4-922c-9db1a8ba2b1c" targetNamespace="http://schemas.microsoft.com/office/2006/metadata/properties" ma:root="true" ma:fieldsID="54f6d3e6a3eb9bab632602469341bf99" ns2:_="" ns3:_="">
    <xsd:import namespace="23b97711-a0e4-4794-bda5-621c83916593"/>
    <xsd:import namespace="4d0f05f2-8993-46a4-922c-9db1a8ba2b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97711-a0e4-4794-bda5-621c839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8986d1-197e-4d3e-a844-2ab052a897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f05f2-8993-46a4-922c-9db1a8ba2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a17a68-c738-4705-9640-e401f08b0141}" ma:internalName="TaxCatchAll" ma:showField="CatchAllData" ma:web="4d0f05f2-8993-46a4-922c-9db1a8ba2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5B82D-3757-46CC-9AAC-2A3050257C60}">
  <ds:schemaRefs>
    <ds:schemaRef ds:uri="http://schemas.microsoft.com/office/2006/metadata/properties"/>
    <ds:schemaRef ds:uri="http://schemas.microsoft.com/office/infopath/2007/PartnerControls"/>
    <ds:schemaRef ds:uri="23b97711-a0e4-4794-bda5-621c83916593"/>
    <ds:schemaRef ds:uri="4d0f05f2-8993-46a4-922c-9db1a8ba2b1c"/>
  </ds:schemaRefs>
</ds:datastoreItem>
</file>

<file path=customXml/itemProps2.xml><?xml version="1.0" encoding="utf-8"?>
<ds:datastoreItem xmlns:ds="http://schemas.openxmlformats.org/officeDocument/2006/customXml" ds:itemID="{9B97F0B4-3BFE-4F49-964A-E0F059BA0D9F}">
  <ds:schemaRefs>
    <ds:schemaRef ds:uri="http://schemas.openxmlformats.org/officeDocument/2006/bibliography"/>
  </ds:schemaRefs>
</ds:datastoreItem>
</file>

<file path=customXml/itemProps3.xml><?xml version="1.0" encoding="utf-8"?>
<ds:datastoreItem xmlns:ds="http://schemas.openxmlformats.org/officeDocument/2006/customXml" ds:itemID="{AC549F60-4C28-4E87-B18A-880F690AD3CF}">
  <ds:schemaRefs>
    <ds:schemaRef ds:uri="http://schemas.microsoft.com/sharepoint/v3/contenttype/forms"/>
  </ds:schemaRefs>
</ds:datastoreItem>
</file>

<file path=customXml/itemProps4.xml><?xml version="1.0" encoding="utf-8"?>
<ds:datastoreItem xmlns:ds="http://schemas.openxmlformats.org/officeDocument/2006/customXml" ds:itemID="{314D314D-3E4D-400C-90D9-5AB42CC4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97711-a0e4-4794-bda5-621c83916593"/>
    <ds:schemaRef ds:uri="4d0f05f2-8993-46a4-922c-9db1a8ba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Hamer</dc:creator>
  <cp:keywords/>
  <dc:description/>
  <cp:lastModifiedBy>Alexandra Badenhop</cp:lastModifiedBy>
  <cp:revision>119</cp:revision>
  <dcterms:created xsi:type="dcterms:W3CDTF">2024-05-16T01:26:00Z</dcterms:created>
  <dcterms:modified xsi:type="dcterms:W3CDTF">2024-05-16T05:09:00Z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0x0101008D7B81DCB113C54E80BCB642CB5410FC</vt:lpwstr>
  </property>
  <property fmtid="{D5CDD505-2E9C-101B-9397-08002B2CF9AE}" pid="3" name="MediaServiceImageTags">
    <vt:lpwstr/>
  </property>
</Properties>
</file>